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333A" w14:textId="2C1633FF" w:rsidR="003A4884" w:rsidRPr="0054621D" w:rsidRDefault="003A4884" w:rsidP="00D93DA7">
      <w:pPr>
        <w:spacing w:after="240"/>
        <w:jc w:val="both"/>
        <w:outlineLvl w:val="0"/>
        <w:rPr>
          <w:rFonts w:cstheme="minorHAnsi"/>
          <w:b/>
        </w:rPr>
      </w:pPr>
      <w:r w:rsidRPr="0054621D">
        <w:rPr>
          <w:rFonts w:cstheme="minorHAnsi"/>
          <w:b/>
        </w:rPr>
        <w:t xml:space="preserve">Risikohinweise </w:t>
      </w:r>
    </w:p>
    <w:p w14:paraId="25CAC365" w14:textId="7D35FDA7" w:rsidR="00F73AD2" w:rsidRPr="0054621D" w:rsidRDefault="00474974" w:rsidP="00474DB2">
      <w:pPr>
        <w:spacing w:after="240"/>
        <w:jc w:val="both"/>
        <w:rPr>
          <w:rFonts w:cstheme="minorHAnsi"/>
        </w:rPr>
      </w:pPr>
      <w:r w:rsidRPr="0054621D">
        <w:rPr>
          <w:rFonts w:cstheme="minorHAnsi"/>
        </w:rPr>
        <w:t>Bei der</w:t>
      </w:r>
      <w:r w:rsidR="00F73AD2" w:rsidRPr="0054621D">
        <w:rPr>
          <w:rFonts w:cstheme="minorHAnsi"/>
        </w:rPr>
        <w:t xml:space="preserve"> vorliegenden </w:t>
      </w:r>
      <w:r w:rsidRPr="0054621D">
        <w:rPr>
          <w:rFonts w:cstheme="minorHAnsi"/>
        </w:rPr>
        <w:t>Emission</w:t>
      </w:r>
      <w:r w:rsidR="00F73AD2" w:rsidRPr="0054621D">
        <w:rPr>
          <w:rFonts w:cstheme="minorHAnsi"/>
        </w:rPr>
        <w:t xml:space="preserve"> handelt es sich um </w:t>
      </w:r>
      <w:r w:rsidRPr="0054621D">
        <w:rPr>
          <w:rFonts w:cstheme="minorHAnsi"/>
        </w:rPr>
        <w:t xml:space="preserve">eine Emission </w:t>
      </w:r>
      <w:r w:rsidR="00E73646" w:rsidRPr="0054621D">
        <w:rPr>
          <w:rFonts w:cstheme="minorHAnsi"/>
        </w:rPr>
        <w:t xml:space="preserve">von </w:t>
      </w:r>
      <w:r w:rsidR="00F70D88" w:rsidRPr="0054621D">
        <w:rPr>
          <w:rFonts w:cstheme="minorHAnsi"/>
        </w:rPr>
        <w:t xml:space="preserve">Nachrangdarlehen </w:t>
      </w:r>
      <w:r w:rsidR="009F41CD" w:rsidRPr="0054621D">
        <w:rPr>
          <w:rFonts w:cstheme="minorHAnsi"/>
        </w:rPr>
        <w:t xml:space="preserve">des </w:t>
      </w:r>
      <w:r w:rsidR="00DB4A0F" w:rsidRPr="0054621D">
        <w:rPr>
          <w:rFonts w:cstheme="minorHAnsi"/>
        </w:rPr>
        <w:t>Darlehensnehmers</w:t>
      </w:r>
      <w:r w:rsidR="00F73AD2" w:rsidRPr="0054621D">
        <w:rPr>
          <w:rFonts w:cstheme="minorHAnsi"/>
        </w:rPr>
        <w:t xml:space="preserve"> </w:t>
      </w:r>
      <w:proofErr w:type="spellStart"/>
      <w:r w:rsidR="005D5AEA" w:rsidRPr="0054621D">
        <w:rPr>
          <w:rFonts w:cstheme="minorHAnsi"/>
        </w:rPr>
        <w:t>ecoligo</w:t>
      </w:r>
      <w:proofErr w:type="spellEnd"/>
      <w:r w:rsidR="005D5AEA" w:rsidRPr="0054621D">
        <w:rPr>
          <w:rFonts w:cstheme="minorHAnsi"/>
        </w:rPr>
        <w:t xml:space="preserve"> Projects </w:t>
      </w:r>
      <w:proofErr w:type="spellStart"/>
      <w:r w:rsidR="005D5AEA" w:rsidRPr="0054621D">
        <w:rPr>
          <w:rFonts w:cstheme="minorHAnsi"/>
        </w:rPr>
        <w:t>Two</w:t>
      </w:r>
      <w:proofErr w:type="spellEnd"/>
      <w:r w:rsidR="005D5AEA" w:rsidRPr="0054621D">
        <w:rPr>
          <w:rFonts w:cstheme="minorHAnsi"/>
        </w:rPr>
        <w:t xml:space="preserve"> UG (haftungsbeschränkt)</w:t>
      </w:r>
      <w:r w:rsidR="00F73AD2" w:rsidRPr="0054621D">
        <w:rPr>
          <w:rFonts w:cstheme="minorHAnsi"/>
        </w:rPr>
        <w:t>,</w:t>
      </w:r>
      <w:r w:rsidR="00010B3C" w:rsidRPr="0054621D">
        <w:rPr>
          <w:rFonts w:cstheme="minorHAnsi"/>
        </w:rPr>
        <w:t xml:space="preserve"> </w:t>
      </w:r>
      <w:r w:rsidR="005D5AEA" w:rsidRPr="0054621D">
        <w:rPr>
          <w:rFonts w:cstheme="minorHAnsi"/>
        </w:rPr>
        <w:t>Berlin</w:t>
      </w:r>
      <w:r w:rsidR="00F70D88" w:rsidRPr="0054621D">
        <w:rPr>
          <w:rFonts w:cstheme="minorHAnsi"/>
        </w:rPr>
        <w:t xml:space="preserve">. </w:t>
      </w:r>
      <w:r w:rsidR="00446FFA" w:rsidRPr="0054621D">
        <w:rPr>
          <w:rFonts w:cstheme="minorHAnsi"/>
        </w:rPr>
        <w:t xml:space="preserve">Der </w:t>
      </w:r>
      <w:r w:rsidR="00DB4A0F" w:rsidRPr="0054621D">
        <w:rPr>
          <w:rFonts w:cstheme="minorHAnsi"/>
        </w:rPr>
        <w:t>Darlehensnehmer</w:t>
      </w:r>
      <w:r w:rsidR="00446FFA" w:rsidRPr="0054621D">
        <w:rPr>
          <w:rFonts w:cstheme="minorHAnsi"/>
        </w:rPr>
        <w:t xml:space="preserve"> ist eine sogenannte Emissionszweckgesellschaft (Ein</w:t>
      </w:r>
      <w:r w:rsidR="00A60A9A" w:rsidRPr="0054621D">
        <w:rPr>
          <w:rFonts w:cstheme="minorHAnsi"/>
        </w:rPr>
        <w:t>-Z</w:t>
      </w:r>
      <w:r w:rsidR="00446FFA" w:rsidRPr="0054621D">
        <w:rPr>
          <w:rFonts w:cstheme="minorHAnsi"/>
        </w:rPr>
        <w:t>weck</w:t>
      </w:r>
      <w:r w:rsidR="00A60A9A" w:rsidRPr="0054621D">
        <w:rPr>
          <w:rFonts w:cstheme="minorHAnsi"/>
        </w:rPr>
        <w:t>-G</w:t>
      </w:r>
      <w:r w:rsidR="00446FFA" w:rsidRPr="0054621D">
        <w:rPr>
          <w:rFonts w:cstheme="minorHAnsi"/>
        </w:rPr>
        <w:t xml:space="preserve">esellschaft), die ausschließlich dazu dient, das von den </w:t>
      </w:r>
      <w:r w:rsidR="00CB5575" w:rsidRPr="0054621D">
        <w:rPr>
          <w:rFonts w:cstheme="minorHAnsi"/>
        </w:rPr>
        <w:t>Nachrangdarlehensgeber</w:t>
      </w:r>
      <w:r w:rsidR="00446FFA" w:rsidRPr="0054621D">
        <w:rPr>
          <w:rFonts w:cstheme="minorHAnsi"/>
        </w:rPr>
        <w:t xml:space="preserve">n durch Nachrangdarlehen eingeworbene Kapital an </w:t>
      </w:r>
      <w:r w:rsidR="00224138" w:rsidRPr="0054621D">
        <w:rPr>
          <w:rFonts w:cstheme="minorHAnsi"/>
        </w:rPr>
        <w:t>den</w:t>
      </w:r>
      <w:r w:rsidR="00446FFA" w:rsidRPr="0054621D">
        <w:rPr>
          <w:rFonts w:cstheme="minorHAnsi"/>
        </w:rPr>
        <w:t xml:space="preserve"> Projektinhaber </w:t>
      </w:r>
      <w:proofErr w:type="spellStart"/>
      <w:r w:rsidR="005D5AEA" w:rsidRPr="0054621D">
        <w:rPr>
          <w:rFonts w:cstheme="minorHAnsi"/>
        </w:rPr>
        <w:t>ecoligo</w:t>
      </w:r>
      <w:proofErr w:type="spellEnd"/>
      <w:r w:rsidR="005D5AEA" w:rsidRPr="0054621D">
        <w:rPr>
          <w:rFonts w:cstheme="minorHAnsi"/>
        </w:rPr>
        <w:t xml:space="preserve"> Co., Ltd.</w:t>
      </w:r>
      <w:r w:rsidR="009F41CD" w:rsidRPr="0054621D">
        <w:rPr>
          <w:rFonts w:cstheme="minorHAnsi"/>
        </w:rPr>
        <w:t xml:space="preserve"> </w:t>
      </w:r>
      <w:r w:rsidR="00446FFA" w:rsidRPr="0054621D">
        <w:rPr>
          <w:rFonts w:cstheme="minorHAnsi"/>
        </w:rPr>
        <w:t xml:space="preserve">mit Sitz in </w:t>
      </w:r>
      <w:r w:rsidR="005D5AEA" w:rsidRPr="0054621D">
        <w:rPr>
          <w:rFonts w:cstheme="minorHAnsi"/>
        </w:rPr>
        <w:t>Vietnam</w:t>
      </w:r>
      <w:r w:rsidR="00446FFA" w:rsidRPr="0054621D">
        <w:rPr>
          <w:rFonts w:cstheme="minorHAnsi"/>
        </w:rPr>
        <w:t xml:space="preserve">, </w:t>
      </w:r>
      <w:r w:rsidR="005D5AEA" w:rsidRPr="0054621D">
        <w:rPr>
          <w:rFonts w:cstheme="minorHAnsi"/>
        </w:rPr>
        <w:t xml:space="preserve">mit dem der Darlehensnehmer gesellschaftsrechtlich verbunden </w:t>
      </w:r>
      <w:proofErr w:type="spellStart"/>
      <w:r w:rsidR="005D5AEA" w:rsidRPr="0054621D">
        <w:rPr>
          <w:rFonts w:cstheme="minorHAnsi"/>
        </w:rPr>
        <w:t>ist</w:t>
      </w:r>
      <w:r w:rsidR="00446FFA" w:rsidRPr="0054621D">
        <w:rPr>
          <w:rFonts w:cstheme="minorHAnsi"/>
        </w:rPr>
        <w:t>in</w:t>
      </w:r>
      <w:proofErr w:type="spellEnd"/>
      <w:r w:rsidR="00446FFA" w:rsidRPr="0054621D">
        <w:rPr>
          <w:rFonts w:cstheme="minorHAnsi"/>
        </w:rPr>
        <w:t xml:space="preserve"> Form eines weiteren Darlehens weiterzuleiten.</w:t>
      </w:r>
      <w:r w:rsidR="00BB2571" w:rsidRPr="0054621D">
        <w:rPr>
          <w:rFonts w:cstheme="minorHAnsi"/>
        </w:rPr>
        <w:t xml:space="preserve"> </w:t>
      </w:r>
      <w:r w:rsidR="00F70D88" w:rsidRPr="0054621D">
        <w:rPr>
          <w:rFonts w:cstheme="minorHAnsi"/>
        </w:rPr>
        <w:t>Die Nachrangdarlehen</w:t>
      </w:r>
      <w:r w:rsidR="00F73AD2" w:rsidRPr="0054621D">
        <w:rPr>
          <w:rFonts w:cstheme="minorHAnsi"/>
        </w:rPr>
        <w:t xml:space="preserve"> </w:t>
      </w:r>
      <w:r w:rsidR="00BB2571" w:rsidRPr="0054621D">
        <w:rPr>
          <w:rFonts w:cstheme="minorHAnsi"/>
        </w:rPr>
        <w:t xml:space="preserve">der </w:t>
      </w:r>
      <w:r w:rsidR="00580E54" w:rsidRPr="0054621D">
        <w:rPr>
          <w:rFonts w:cstheme="minorHAnsi"/>
        </w:rPr>
        <w:t>Nachrangdarlehensgeber</w:t>
      </w:r>
      <w:r w:rsidR="00BB2571" w:rsidRPr="0054621D">
        <w:rPr>
          <w:rFonts w:cstheme="minorHAnsi"/>
        </w:rPr>
        <w:t xml:space="preserve"> </w:t>
      </w:r>
      <w:r w:rsidR="008803B3" w:rsidRPr="0054621D">
        <w:rPr>
          <w:rFonts w:cstheme="minorHAnsi"/>
        </w:rPr>
        <w:t xml:space="preserve">sind langfristige, schuldrechtliche Verträge, die </w:t>
      </w:r>
      <w:r w:rsidR="00F73AD2" w:rsidRPr="0054621D">
        <w:rPr>
          <w:rFonts w:cstheme="minorHAnsi"/>
        </w:rPr>
        <w:t xml:space="preserve">mit </w:t>
      </w:r>
      <w:r w:rsidR="008803B3" w:rsidRPr="0054621D">
        <w:rPr>
          <w:rFonts w:cstheme="minorHAnsi"/>
        </w:rPr>
        <w:t xml:space="preserve">wirtschaftlichen, rechtlichen und steuerlichen </w:t>
      </w:r>
      <w:r w:rsidR="00F73AD2" w:rsidRPr="0054621D">
        <w:rPr>
          <w:rFonts w:cstheme="minorHAnsi"/>
        </w:rPr>
        <w:t xml:space="preserve">Risiken verbunden sind. Der </w:t>
      </w:r>
      <w:r w:rsidR="00580E54" w:rsidRPr="0054621D">
        <w:rPr>
          <w:rFonts w:cstheme="minorHAnsi"/>
        </w:rPr>
        <w:t>Nachrangdarlehensgeber</w:t>
      </w:r>
      <w:r w:rsidR="00F73AD2" w:rsidRPr="0054621D">
        <w:rPr>
          <w:rFonts w:cstheme="minorHAnsi"/>
        </w:rPr>
        <w:t xml:space="preserve"> sollte daher die nachfolgende Risikobelehrung vor dem Hintergrund der Angaben in </w:t>
      </w:r>
      <w:r w:rsidR="00AF120D" w:rsidRPr="0054621D">
        <w:rPr>
          <w:rFonts w:cstheme="minorHAnsi"/>
        </w:rPr>
        <w:t xml:space="preserve">der </w:t>
      </w:r>
      <w:r w:rsidR="0014762A" w:rsidRPr="0054621D">
        <w:rPr>
          <w:rFonts w:cstheme="minorHAnsi"/>
        </w:rPr>
        <w:t>Darlehensgeber</w:t>
      </w:r>
      <w:r w:rsidR="00F73AD2" w:rsidRPr="0054621D">
        <w:rPr>
          <w:rFonts w:cstheme="minorHAnsi"/>
        </w:rPr>
        <w:t xml:space="preserve">broschüre aufmerksam lesen und bei seiner Entscheidung entsprechend berücksichtigen. Insbesondere sollte die </w:t>
      </w:r>
      <w:r w:rsidR="005D5AEA" w:rsidRPr="0054621D">
        <w:rPr>
          <w:rFonts w:cstheme="minorHAnsi"/>
        </w:rPr>
        <w:t>Kapitalanlage</w:t>
      </w:r>
      <w:r w:rsidR="00F73AD2" w:rsidRPr="0054621D">
        <w:rPr>
          <w:rFonts w:cstheme="minorHAnsi"/>
        </w:rPr>
        <w:t xml:space="preserve"> des </w:t>
      </w:r>
      <w:r w:rsidR="00A559DC" w:rsidRPr="0054621D">
        <w:rPr>
          <w:rFonts w:cstheme="minorHAnsi"/>
        </w:rPr>
        <w:t>Nachrangdarlehensgeber</w:t>
      </w:r>
      <w:r w:rsidR="00F73AD2" w:rsidRPr="0054621D">
        <w:rPr>
          <w:rFonts w:cstheme="minorHAnsi"/>
        </w:rPr>
        <w:t>s seinen wirtschaftlichen Verhält</w:t>
      </w:r>
      <w:r w:rsidR="00B40145" w:rsidRPr="0054621D">
        <w:rPr>
          <w:rFonts w:cstheme="minorHAnsi"/>
        </w:rPr>
        <w:t>nissen entsprechen und seine</w:t>
      </w:r>
      <w:r w:rsidR="00F73AD2" w:rsidRPr="0054621D">
        <w:rPr>
          <w:rFonts w:cstheme="minorHAnsi"/>
        </w:rPr>
        <w:t xml:space="preserve"> </w:t>
      </w:r>
      <w:r w:rsidR="00B40145" w:rsidRPr="0054621D">
        <w:rPr>
          <w:rFonts w:cstheme="minorHAnsi"/>
        </w:rPr>
        <w:t xml:space="preserve">Investition in die </w:t>
      </w:r>
      <w:r w:rsidR="005D5AEA" w:rsidRPr="0054621D">
        <w:rPr>
          <w:rFonts w:cstheme="minorHAnsi"/>
        </w:rPr>
        <w:t>Kapitalanlage</w:t>
      </w:r>
      <w:r w:rsidR="00B40145" w:rsidRPr="0054621D">
        <w:rPr>
          <w:rFonts w:cstheme="minorHAnsi"/>
        </w:rPr>
        <w:t xml:space="preserve"> sollte </w:t>
      </w:r>
      <w:r w:rsidR="00F73AD2" w:rsidRPr="0054621D">
        <w:rPr>
          <w:rFonts w:cstheme="minorHAnsi"/>
        </w:rPr>
        <w:t xml:space="preserve">nur einen </w:t>
      </w:r>
      <w:r w:rsidR="007B6523" w:rsidRPr="0054621D">
        <w:rPr>
          <w:rFonts w:cstheme="minorHAnsi"/>
        </w:rPr>
        <w:t xml:space="preserve">geringen </w:t>
      </w:r>
      <w:r w:rsidR="00F73AD2" w:rsidRPr="0054621D">
        <w:rPr>
          <w:rFonts w:cstheme="minorHAnsi"/>
        </w:rPr>
        <w:t xml:space="preserve">Teil seines </w:t>
      </w:r>
      <w:r w:rsidR="007B6523" w:rsidRPr="0054621D">
        <w:rPr>
          <w:rFonts w:cstheme="minorHAnsi"/>
        </w:rPr>
        <w:t>Gesamtv</w:t>
      </w:r>
      <w:r w:rsidR="00F73AD2" w:rsidRPr="0054621D">
        <w:rPr>
          <w:rFonts w:cstheme="minorHAnsi"/>
        </w:rPr>
        <w:t xml:space="preserve">ermögens ausmachen. </w:t>
      </w:r>
    </w:p>
    <w:p w14:paraId="53687E2F" w14:textId="721C99BF" w:rsidR="004B43C0" w:rsidRPr="0054621D" w:rsidRDefault="00F73AD2" w:rsidP="00474DB2">
      <w:pPr>
        <w:spacing w:after="240"/>
        <w:jc w:val="both"/>
        <w:rPr>
          <w:rFonts w:cstheme="minorHAnsi"/>
        </w:rPr>
      </w:pPr>
      <w:r w:rsidRPr="0054621D">
        <w:rPr>
          <w:rFonts w:cstheme="minorHAnsi"/>
        </w:rPr>
        <w:t xml:space="preserve">Im Folgenden werden die wesentlichen rechtlichen und tatsächlichen Risiken im Zusammenhang mit der angebotenen </w:t>
      </w:r>
      <w:r w:rsidR="005D5AEA" w:rsidRPr="0054621D">
        <w:rPr>
          <w:rFonts w:cstheme="minorHAnsi"/>
        </w:rPr>
        <w:t>Kapitalanlage</w:t>
      </w:r>
      <w:r w:rsidRPr="0054621D">
        <w:rPr>
          <w:rFonts w:cstheme="minorHAnsi"/>
        </w:rPr>
        <w:t xml:space="preserve"> dargestellt, die für die Bewertung der </w:t>
      </w:r>
      <w:r w:rsidR="005D5AEA" w:rsidRPr="0054621D">
        <w:rPr>
          <w:rFonts w:cstheme="minorHAnsi"/>
        </w:rPr>
        <w:t>Kapitalanlage</w:t>
      </w:r>
      <w:r w:rsidRPr="0054621D">
        <w:rPr>
          <w:rFonts w:cstheme="minorHAnsi"/>
        </w:rPr>
        <w:t xml:space="preserve"> von wesentlicher Bedeutung sind</w:t>
      </w:r>
      <w:r w:rsidR="00191D3C" w:rsidRPr="0054621D">
        <w:rPr>
          <w:rFonts w:cstheme="minorHAnsi"/>
        </w:rPr>
        <w:t xml:space="preserve">. Weiterhin werden </w:t>
      </w:r>
      <w:r w:rsidRPr="0054621D">
        <w:rPr>
          <w:rFonts w:cstheme="minorHAnsi"/>
        </w:rPr>
        <w:t>Risikofaktoren</w:t>
      </w:r>
      <w:r w:rsidR="00191D3C" w:rsidRPr="0054621D">
        <w:rPr>
          <w:rFonts w:cstheme="minorHAnsi"/>
        </w:rPr>
        <w:t xml:space="preserve"> dargestellt</w:t>
      </w:r>
      <w:r w:rsidRPr="0054621D">
        <w:rPr>
          <w:rFonts w:cstheme="minorHAnsi"/>
        </w:rPr>
        <w:t xml:space="preserve">, die die Fähigkeit des </w:t>
      </w:r>
      <w:r w:rsidR="00270FC1" w:rsidRPr="0054621D">
        <w:rPr>
          <w:rFonts w:cstheme="minorHAnsi"/>
        </w:rPr>
        <w:t xml:space="preserve">Darlehensnehmers </w:t>
      </w:r>
      <w:r w:rsidRPr="0054621D">
        <w:rPr>
          <w:rFonts w:cstheme="minorHAnsi"/>
        </w:rPr>
        <w:t>beeinträchtigen könn</w:t>
      </w:r>
      <w:r w:rsidR="00C42355" w:rsidRPr="0054621D">
        <w:rPr>
          <w:rFonts w:cstheme="minorHAnsi"/>
        </w:rPr>
        <w:t>t</w:t>
      </w:r>
      <w:r w:rsidRPr="0054621D">
        <w:rPr>
          <w:rFonts w:cstheme="minorHAnsi"/>
        </w:rPr>
        <w:t xml:space="preserve">en, die </w:t>
      </w:r>
      <w:r w:rsidR="004B43C0" w:rsidRPr="0054621D">
        <w:rPr>
          <w:rFonts w:cstheme="minorHAnsi"/>
        </w:rPr>
        <w:t>erwarteten</w:t>
      </w:r>
      <w:r w:rsidRPr="0054621D">
        <w:rPr>
          <w:rFonts w:cstheme="minorHAnsi"/>
        </w:rPr>
        <w:t xml:space="preserve"> Ergebnisse zu erwirtschaften. </w:t>
      </w:r>
    </w:p>
    <w:p w14:paraId="76891329" w14:textId="01FAC567" w:rsidR="001B3D69" w:rsidRPr="0054621D" w:rsidRDefault="004A4CA9" w:rsidP="00474DB2">
      <w:pPr>
        <w:spacing w:after="240"/>
        <w:jc w:val="both"/>
        <w:rPr>
          <w:rFonts w:cstheme="minorHAnsi"/>
        </w:rPr>
      </w:pPr>
      <w:r w:rsidRPr="0054621D">
        <w:rPr>
          <w:rFonts w:cstheme="minorHAnsi"/>
        </w:rPr>
        <w:t xml:space="preserve">Nachfolgend können nicht sämtliche mit der </w:t>
      </w:r>
      <w:r w:rsidR="005D5AEA" w:rsidRPr="0054621D">
        <w:rPr>
          <w:rFonts w:cstheme="minorHAnsi"/>
        </w:rPr>
        <w:t>Kapitalanlage</w:t>
      </w:r>
      <w:r w:rsidRPr="0054621D">
        <w:rPr>
          <w:rFonts w:cstheme="minorHAnsi"/>
        </w:rPr>
        <w:t xml:space="preserve"> verbundenen Risiken ausgeführt werden. Auch die nachstehend genannten Risiken können hier nicht abschließend erläutert werden. </w:t>
      </w:r>
      <w:r w:rsidR="00232636" w:rsidRPr="0054621D">
        <w:rPr>
          <w:rFonts w:cstheme="minorHAnsi"/>
        </w:rPr>
        <w:t xml:space="preserve">Die </w:t>
      </w:r>
      <w:r w:rsidR="00F73AD2" w:rsidRPr="0054621D">
        <w:rPr>
          <w:rFonts w:cstheme="minorHAnsi"/>
        </w:rPr>
        <w:t>Reihenfolge der aufgeführten Risiken lässt keine Rückschlüsse auf mögliche Eintrittswahrscheinlichkeiten oder das Ausmaß einer potenziellen Beeinträchtigung zu</w:t>
      </w:r>
      <w:r w:rsidR="00EF67CF" w:rsidRPr="0054621D">
        <w:rPr>
          <w:rFonts w:cstheme="minorHAnsi"/>
        </w:rPr>
        <w:t xml:space="preserve">. </w:t>
      </w:r>
    </w:p>
    <w:p w14:paraId="4A901DBF" w14:textId="77777777" w:rsidR="00D77DA5" w:rsidRPr="0054621D" w:rsidRDefault="00D77DA5" w:rsidP="00474DB2">
      <w:pPr>
        <w:pStyle w:val="ListParagraph"/>
        <w:spacing w:after="240"/>
        <w:contextualSpacing w:val="0"/>
        <w:jc w:val="both"/>
        <w:rPr>
          <w:rFonts w:cstheme="minorHAnsi"/>
          <w:b/>
        </w:rPr>
      </w:pPr>
    </w:p>
    <w:p w14:paraId="25454E3C" w14:textId="2F03156B" w:rsidR="00F73AD2" w:rsidRPr="0054621D" w:rsidRDefault="00C815F3" w:rsidP="00474DB2">
      <w:pPr>
        <w:pStyle w:val="ListParagraph"/>
        <w:numPr>
          <w:ilvl w:val="0"/>
          <w:numId w:val="1"/>
        </w:numPr>
        <w:spacing w:after="240"/>
        <w:ind w:hanging="720"/>
        <w:contextualSpacing w:val="0"/>
        <w:jc w:val="both"/>
        <w:rPr>
          <w:rFonts w:cstheme="minorHAnsi"/>
          <w:b/>
        </w:rPr>
      </w:pPr>
      <w:r w:rsidRPr="0054621D">
        <w:rPr>
          <w:rFonts w:cstheme="minorHAnsi"/>
          <w:b/>
        </w:rPr>
        <w:t>Allgemeine</w:t>
      </w:r>
      <w:r w:rsidR="00700A67" w:rsidRPr="0054621D">
        <w:rPr>
          <w:rFonts w:cstheme="minorHAnsi"/>
          <w:b/>
        </w:rPr>
        <w:t xml:space="preserve"> Risiken und Risiken aus der Ausgestaltung der Nachrangdarlehen </w:t>
      </w:r>
    </w:p>
    <w:p w14:paraId="11201D31" w14:textId="390C6614" w:rsidR="00017444" w:rsidRPr="0054621D" w:rsidRDefault="00A95AEC" w:rsidP="00474DB2">
      <w:pPr>
        <w:pStyle w:val="ListParagraph"/>
        <w:keepNext/>
        <w:numPr>
          <w:ilvl w:val="0"/>
          <w:numId w:val="2"/>
        </w:numPr>
        <w:spacing w:after="240"/>
        <w:ind w:hanging="720"/>
        <w:contextualSpacing w:val="0"/>
        <w:jc w:val="both"/>
        <w:rPr>
          <w:rFonts w:cstheme="minorHAnsi"/>
          <w:b/>
        </w:rPr>
      </w:pPr>
      <w:r w:rsidRPr="0054621D">
        <w:rPr>
          <w:rFonts w:cstheme="minorHAnsi"/>
          <w:b/>
        </w:rPr>
        <w:t xml:space="preserve">Maximales Risiko – </w:t>
      </w:r>
      <w:r w:rsidR="00017444" w:rsidRPr="0054621D">
        <w:rPr>
          <w:rFonts w:cstheme="minorHAnsi"/>
          <w:b/>
        </w:rPr>
        <w:t xml:space="preserve">Totalverlustrisiko </w:t>
      </w:r>
    </w:p>
    <w:p w14:paraId="11F83C74" w14:textId="787ED963" w:rsidR="008A3467" w:rsidRPr="0054621D" w:rsidRDefault="009840AA" w:rsidP="0012072D">
      <w:pPr>
        <w:spacing w:after="240"/>
        <w:jc w:val="both"/>
        <w:rPr>
          <w:rFonts w:cstheme="minorHAnsi"/>
        </w:rPr>
      </w:pPr>
      <w:r w:rsidRPr="0054621D">
        <w:rPr>
          <w:rFonts w:cstheme="minorHAnsi"/>
        </w:rPr>
        <w:t xml:space="preserve">Es besteht das Risiko des Totalverlusts des Anlagebetrags und der Zinsansprüche. </w:t>
      </w:r>
      <w:r w:rsidR="008A3467" w:rsidRPr="0054621D">
        <w:rPr>
          <w:rFonts w:cstheme="minorHAnsi"/>
        </w:rPr>
        <w:t>Der Eintritt einzelner oder das kumulative Zusammenwirken verschiedener Risiken kann erhebliche nachteilige Auswirkungen auf die erwarteten Ergebnisse des Darlehensnehmers haben</w:t>
      </w:r>
      <w:r w:rsidR="006E1197" w:rsidRPr="0054621D">
        <w:rPr>
          <w:rFonts w:cstheme="minorHAnsi"/>
        </w:rPr>
        <w:t>, die bis zu dessen Insolvenz führen könnten</w:t>
      </w:r>
      <w:r w:rsidR="008A3467" w:rsidRPr="0054621D">
        <w:rPr>
          <w:rFonts w:cstheme="minorHAnsi"/>
        </w:rPr>
        <w:t>.</w:t>
      </w:r>
    </w:p>
    <w:p w14:paraId="0AF8950D" w14:textId="3FE3A527" w:rsidR="0012072D" w:rsidRPr="0054621D" w:rsidRDefault="009840AA" w:rsidP="0012072D">
      <w:pPr>
        <w:spacing w:after="240"/>
        <w:jc w:val="both"/>
        <w:rPr>
          <w:rFonts w:cstheme="minorHAnsi"/>
        </w:rPr>
      </w:pPr>
      <w:r w:rsidRPr="0054621D">
        <w:rPr>
          <w:rFonts w:cstheme="minorHAnsi"/>
        </w:rPr>
        <w:t xml:space="preserve">Individuell können dem </w:t>
      </w:r>
      <w:r w:rsidR="00CB5575" w:rsidRPr="0054621D">
        <w:rPr>
          <w:rFonts w:cstheme="minorHAnsi"/>
        </w:rPr>
        <w:t>Nachrangdarlehensgeber</w:t>
      </w:r>
      <w:r w:rsidRPr="0054621D">
        <w:rPr>
          <w:rFonts w:cstheme="minorHAnsi"/>
        </w:rPr>
        <w:t xml:space="preserve"> zusätzliche Vermögensnachteile entstehen. Dies kann z.B. der Fall sein, wenn der </w:t>
      </w:r>
      <w:r w:rsidR="00CB5575" w:rsidRPr="0054621D">
        <w:rPr>
          <w:rFonts w:cstheme="minorHAnsi"/>
        </w:rPr>
        <w:t>Nachrangdarlehensgeber</w:t>
      </w:r>
      <w:r w:rsidRPr="0054621D">
        <w:rPr>
          <w:rFonts w:cstheme="minorHAnsi"/>
        </w:rPr>
        <w:t xml:space="preserve"> den Erwerb der </w:t>
      </w:r>
      <w:r w:rsidR="005D5AEA" w:rsidRPr="0054621D">
        <w:rPr>
          <w:rFonts w:cstheme="minorHAnsi"/>
        </w:rPr>
        <w:t>Kapitalanlage</w:t>
      </w:r>
      <w:r w:rsidRPr="0054621D">
        <w:rPr>
          <w:rFonts w:cstheme="minorHAnsi"/>
        </w:rPr>
        <w:t xml:space="preserve"> durch ein Darlehen fremdfinanziert, wenn er trotz des bestehenden Verlustrisikos Zins- und Rückzahlungen aus der </w:t>
      </w:r>
      <w:r w:rsidR="005D5AEA" w:rsidRPr="0054621D">
        <w:rPr>
          <w:rFonts w:cstheme="minorHAnsi"/>
        </w:rPr>
        <w:t>Kapitalanlage</w:t>
      </w:r>
      <w:r w:rsidRPr="0054621D">
        <w:rPr>
          <w:rFonts w:cstheme="minorHAnsi"/>
        </w:rPr>
        <w:t xml:space="preserve"> fest zur Decku</w:t>
      </w:r>
      <w:r w:rsidR="0034061A" w:rsidRPr="0054621D">
        <w:rPr>
          <w:rFonts w:cstheme="minorHAnsi"/>
        </w:rPr>
        <w:t>ng anderer Verpflichtungen ein</w:t>
      </w:r>
      <w:r w:rsidRPr="0054621D">
        <w:rPr>
          <w:rFonts w:cstheme="minorHAnsi"/>
        </w:rPr>
        <w:t xml:space="preserve">plant oder aufgrund von Kosten für Steuernachzahlungen. Solche zusätzliche Vermögensnachteile können im schlechtesten Fall bis hin zur Privatinsolvenz des </w:t>
      </w:r>
      <w:r w:rsidR="00CB5575" w:rsidRPr="0054621D">
        <w:rPr>
          <w:rFonts w:cstheme="minorHAnsi"/>
        </w:rPr>
        <w:t>Nachrangdarlehensgeber</w:t>
      </w:r>
      <w:r w:rsidRPr="0054621D">
        <w:rPr>
          <w:rFonts w:cstheme="minorHAnsi"/>
        </w:rPr>
        <w:t xml:space="preserve">s führen. </w:t>
      </w:r>
      <w:r w:rsidR="0012072D" w:rsidRPr="0054621D">
        <w:rPr>
          <w:rFonts w:cstheme="minorHAnsi"/>
        </w:rPr>
        <w:t xml:space="preserve">Daher sollte der </w:t>
      </w:r>
      <w:r w:rsidR="00CB5575" w:rsidRPr="0054621D">
        <w:rPr>
          <w:rFonts w:cstheme="minorHAnsi"/>
        </w:rPr>
        <w:t>Nachrangdarlehensgeber</w:t>
      </w:r>
      <w:r w:rsidR="0012072D" w:rsidRPr="0054621D">
        <w:rPr>
          <w:rFonts w:cstheme="minorHAnsi"/>
        </w:rPr>
        <w:t xml:space="preserve"> alle Risiken unter Berücksichtigung seiner persönlichen Verhältnisse prüfen und gegebenenfalls individuellen fachlichen Rat einholen.</w:t>
      </w:r>
      <w:r w:rsidR="00C401CC" w:rsidRPr="0054621D">
        <w:rPr>
          <w:rFonts w:cstheme="minorHAnsi"/>
        </w:rPr>
        <w:t xml:space="preserve"> Von einer Fremdfinanzierung der </w:t>
      </w:r>
      <w:r w:rsidR="005D5AEA" w:rsidRPr="0054621D">
        <w:rPr>
          <w:rFonts w:cstheme="minorHAnsi"/>
        </w:rPr>
        <w:t>Kapitalanlage</w:t>
      </w:r>
      <w:r w:rsidR="00C401CC" w:rsidRPr="0054621D">
        <w:rPr>
          <w:rFonts w:cstheme="minorHAnsi"/>
        </w:rPr>
        <w:t xml:space="preserve"> (z.B. durch einen Bankkredit) wird ausdrücklich abgeraten. </w:t>
      </w:r>
    </w:p>
    <w:p w14:paraId="180C9939" w14:textId="38878C69" w:rsidR="00017444" w:rsidRPr="0054621D" w:rsidRDefault="00813C80" w:rsidP="00474DB2">
      <w:pPr>
        <w:spacing w:after="240"/>
        <w:jc w:val="both"/>
        <w:rPr>
          <w:rFonts w:cstheme="minorHAnsi"/>
        </w:rPr>
      </w:pPr>
      <w:r w:rsidRPr="0054621D">
        <w:rPr>
          <w:rFonts w:cstheme="minorHAnsi"/>
        </w:rPr>
        <w:lastRenderedPageBreak/>
        <w:t>D</w:t>
      </w:r>
      <w:r w:rsidR="00017444" w:rsidRPr="0054621D">
        <w:rPr>
          <w:rFonts w:cstheme="minorHAnsi"/>
        </w:rPr>
        <w:t xml:space="preserve">ie </w:t>
      </w:r>
      <w:r w:rsidR="005D5AEA" w:rsidRPr="0054621D">
        <w:rPr>
          <w:rFonts w:cstheme="minorHAnsi"/>
        </w:rPr>
        <w:t>Kapitalanlage</w:t>
      </w:r>
      <w:r w:rsidR="00017444" w:rsidRPr="0054621D">
        <w:rPr>
          <w:rFonts w:cstheme="minorHAnsi"/>
        </w:rPr>
        <w:t xml:space="preserve"> </w:t>
      </w:r>
      <w:r w:rsidRPr="0054621D">
        <w:rPr>
          <w:rFonts w:cstheme="minorHAnsi"/>
        </w:rPr>
        <w:t xml:space="preserve">ist </w:t>
      </w:r>
      <w:r w:rsidR="00017444" w:rsidRPr="0054621D">
        <w:rPr>
          <w:rFonts w:cstheme="minorHAnsi"/>
        </w:rPr>
        <w:t xml:space="preserve">nur als Beimischung in ein Anlageportfolio geeignet. Die Darlehensvergabe ist nur für </w:t>
      </w:r>
      <w:r w:rsidR="0014762A" w:rsidRPr="0054621D">
        <w:rPr>
          <w:rFonts w:cstheme="minorHAnsi"/>
        </w:rPr>
        <w:t>Darlehensgeber</w:t>
      </w:r>
      <w:r w:rsidR="00017444" w:rsidRPr="0054621D">
        <w:rPr>
          <w:rFonts w:cstheme="minorHAnsi"/>
        </w:rPr>
        <w:t xml:space="preserve"> geeignet, die einen entstehenden Verlust bis zum Totalverlust ihrer </w:t>
      </w:r>
      <w:r w:rsidR="005D5AEA" w:rsidRPr="0054621D">
        <w:rPr>
          <w:rFonts w:cstheme="minorHAnsi"/>
        </w:rPr>
        <w:t>Kapitalanlage</w:t>
      </w:r>
      <w:r w:rsidR="00017444" w:rsidRPr="0054621D">
        <w:rPr>
          <w:rFonts w:cstheme="minorHAnsi"/>
        </w:rPr>
        <w:t xml:space="preserve"> hinnehmen könnten. </w:t>
      </w:r>
      <w:r w:rsidR="00905BCB" w:rsidRPr="0054621D">
        <w:rPr>
          <w:rFonts w:cstheme="minorHAnsi"/>
        </w:rPr>
        <w:t xml:space="preserve">Eine gesetzliche oder anderweitige Einlagensicherung besteht nicht. </w:t>
      </w:r>
      <w:r w:rsidR="00017444" w:rsidRPr="0054621D">
        <w:rPr>
          <w:rFonts w:cstheme="minorHAnsi"/>
        </w:rPr>
        <w:t>Das Darlehen ist nicht zur Altersvorsorge geeignet. Das Risiko einer Nachschusspflicht oder einer sonstigen Haftung, die über den Betrag des eingesetzten Darlehenskapitals hinausgeht, besteht dagegen nicht.</w:t>
      </w:r>
    </w:p>
    <w:p w14:paraId="365EF0EE" w14:textId="3A281982" w:rsidR="00A96E7A" w:rsidRPr="0054621D" w:rsidRDefault="00A96E7A" w:rsidP="00474DB2">
      <w:pPr>
        <w:pStyle w:val="ListParagraph"/>
        <w:keepNext/>
        <w:numPr>
          <w:ilvl w:val="0"/>
          <w:numId w:val="2"/>
        </w:numPr>
        <w:spacing w:after="240"/>
        <w:ind w:hanging="720"/>
        <w:contextualSpacing w:val="0"/>
        <w:jc w:val="both"/>
        <w:rPr>
          <w:rFonts w:cstheme="minorHAnsi"/>
          <w:b/>
        </w:rPr>
      </w:pPr>
      <w:r w:rsidRPr="0054621D">
        <w:rPr>
          <w:rFonts w:cstheme="minorHAnsi"/>
          <w:b/>
        </w:rPr>
        <w:t>Nachrangrisiko</w:t>
      </w:r>
      <w:r w:rsidR="00370D0D" w:rsidRPr="0054621D">
        <w:rPr>
          <w:rFonts w:cstheme="minorHAnsi"/>
          <w:b/>
        </w:rPr>
        <w:t xml:space="preserve"> und</w:t>
      </w:r>
      <w:r w:rsidR="00CA631D" w:rsidRPr="0054621D">
        <w:rPr>
          <w:rFonts w:cstheme="minorHAnsi"/>
          <w:b/>
        </w:rPr>
        <w:t xml:space="preserve"> unternehmerische</w:t>
      </w:r>
      <w:r w:rsidR="00B752B1" w:rsidRPr="0054621D">
        <w:rPr>
          <w:rFonts w:cstheme="minorHAnsi"/>
          <w:b/>
        </w:rPr>
        <w:t>r Charakter der</w:t>
      </w:r>
      <w:r w:rsidR="00CA631D" w:rsidRPr="0054621D">
        <w:rPr>
          <w:rFonts w:cstheme="minorHAnsi"/>
          <w:b/>
        </w:rPr>
        <w:t xml:space="preserve"> </w:t>
      </w:r>
      <w:r w:rsidR="00971411" w:rsidRPr="0054621D">
        <w:rPr>
          <w:rFonts w:cstheme="minorHAnsi"/>
          <w:b/>
        </w:rPr>
        <w:t>Finanzierung</w:t>
      </w:r>
    </w:p>
    <w:p w14:paraId="734DB067" w14:textId="2B853415" w:rsidR="00F0424C" w:rsidRPr="0054621D" w:rsidRDefault="00EE5F37" w:rsidP="00474DB2">
      <w:pPr>
        <w:spacing w:after="240"/>
        <w:jc w:val="both"/>
        <w:rPr>
          <w:rFonts w:cstheme="minorHAnsi"/>
        </w:rPr>
      </w:pPr>
      <w:r w:rsidRPr="0054621D">
        <w:rPr>
          <w:rFonts w:cstheme="minorHAnsi"/>
        </w:rPr>
        <w:t xml:space="preserve">Bei dem </w:t>
      </w:r>
      <w:r w:rsidR="00BF7F28" w:rsidRPr="0054621D">
        <w:rPr>
          <w:rFonts w:cstheme="minorHAnsi"/>
        </w:rPr>
        <w:t xml:space="preserve">Darlehensvertrag handelt es sich um ein Darlehen mit einem sogenannten qualifizierten Rangrücktritt (siehe näher Ziffer </w:t>
      </w:r>
      <w:r w:rsidR="00F17F64" w:rsidRPr="0054621D">
        <w:rPr>
          <w:rFonts w:cstheme="minorHAnsi"/>
        </w:rPr>
        <w:t>8</w:t>
      </w:r>
      <w:r w:rsidR="002C7E89" w:rsidRPr="0054621D">
        <w:rPr>
          <w:rFonts w:cstheme="minorHAnsi"/>
        </w:rPr>
        <w:t xml:space="preserve"> </w:t>
      </w:r>
      <w:r w:rsidR="00A96E7A" w:rsidRPr="0054621D">
        <w:rPr>
          <w:rFonts w:cstheme="minorHAnsi"/>
        </w:rPr>
        <w:t>der Darlehensbedingungen</w:t>
      </w:r>
      <w:r w:rsidR="00BF7F28" w:rsidRPr="0054621D">
        <w:rPr>
          <w:rFonts w:cstheme="minorHAnsi"/>
        </w:rPr>
        <w:t xml:space="preserve">). </w:t>
      </w:r>
      <w:r w:rsidR="00D47842" w:rsidRPr="0054621D">
        <w:rPr>
          <w:rFonts w:cstheme="minorHAnsi"/>
        </w:rPr>
        <w:t>Sämtliche</w:t>
      </w:r>
      <w:r w:rsidR="00582FBC" w:rsidRPr="0054621D">
        <w:rPr>
          <w:rFonts w:cstheme="minorHAnsi"/>
        </w:rPr>
        <w:t xml:space="preserve"> </w:t>
      </w:r>
      <w:r w:rsidR="009670BB" w:rsidRPr="0054621D">
        <w:rPr>
          <w:rFonts w:cstheme="minorHAnsi"/>
        </w:rPr>
        <w:t xml:space="preserve">Ansprüche </w:t>
      </w:r>
      <w:r w:rsidR="00E12B6B" w:rsidRPr="0054621D">
        <w:rPr>
          <w:rFonts w:cstheme="minorHAnsi"/>
        </w:rPr>
        <w:t xml:space="preserve">des </w:t>
      </w:r>
      <w:r w:rsidR="00CB5575" w:rsidRPr="0054621D">
        <w:rPr>
          <w:rFonts w:cstheme="minorHAnsi"/>
        </w:rPr>
        <w:t>Nachrangdarlehensgeber</w:t>
      </w:r>
      <w:r w:rsidR="00E617A7" w:rsidRPr="0054621D">
        <w:rPr>
          <w:rFonts w:cstheme="minorHAnsi"/>
        </w:rPr>
        <w:t xml:space="preserve">s </w:t>
      </w:r>
      <w:r w:rsidR="00582FBC" w:rsidRPr="0054621D">
        <w:rPr>
          <w:rFonts w:cstheme="minorHAnsi"/>
        </w:rPr>
        <w:t xml:space="preserve">aus dem Darlehensvertrag </w:t>
      </w:r>
      <w:r w:rsidR="00A2007F" w:rsidRPr="0054621D">
        <w:rPr>
          <w:rFonts w:cstheme="minorHAnsi"/>
        </w:rPr>
        <w:t xml:space="preserve">– insbesondere </w:t>
      </w:r>
      <w:r w:rsidR="00D47842" w:rsidRPr="0054621D">
        <w:rPr>
          <w:rFonts w:cstheme="minorHAnsi"/>
        </w:rPr>
        <w:t xml:space="preserve">die </w:t>
      </w:r>
      <w:r w:rsidR="00A2007F" w:rsidRPr="0054621D">
        <w:rPr>
          <w:rFonts w:cstheme="minorHAnsi"/>
        </w:rPr>
        <w:t xml:space="preserve">Ansprüche auf </w:t>
      </w:r>
      <w:r w:rsidR="00D47842" w:rsidRPr="0054621D">
        <w:rPr>
          <w:rFonts w:cstheme="minorHAnsi"/>
        </w:rPr>
        <w:t>Rückzahlung des Darlehensbetrag</w:t>
      </w:r>
      <w:r w:rsidR="00A2007F" w:rsidRPr="0054621D">
        <w:rPr>
          <w:rFonts w:cstheme="minorHAnsi"/>
        </w:rPr>
        <w:t xml:space="preserve">s und </w:t>
      </w:r>
      <w:r w:rsidR="00D47842" w:rsidRPr="0054621D">
        <w:rPr>
          <w:rFonts w:cstheme="minorHAnsi"/>
        </w:rPr>
        <w:t xml:space="preserve">auf Zahlung der </w:t>
      </w:r>
      <w:r w:rsidR="00A2007F" w:rsidRPr="0054621D">
        <w:rPr>
          <w:rFonts w:cstheme="minorHAnsi"/>
        </w:rPr>
        <w:t>Zinsen</w:t>
      </w:r>
      <w:r w:rsidR="000F3CFC" w:rsidRPr="0054621D">
        <w:rPr>
          <w:rFonts w:cstheme="minorHAnsi"/>
        </w:rPr>
        <w:t xml:space="preserve"> </w:t>
      </w:r>
      <w:r w:rsidR="00A2007F" w:rsidRPr="0054621D">
        <w:rPr>
          <w:rFonts w:cstheme="minorHAnsi"/>
        </w:rPr>
        <w:t xml:space="preserve">– </w:t>
      </w:r>
      <w:r w:rsidR="00582FBC" w:rsidRPr="0054621D">
        <w:rPr>
          <w:rFonts w:cstheme="minorHAnsi"/>
        </w:rPr>
        <w:t>(„Nachrangforderungen“)</w:t>
      </w:r>
      <w:r w:rsidR="00D720BA" w:rsidRPr="0054621D">
        <w:rPr>
          <w:rFonts w:cstheme="minorHAnsi"/>
        </w:rPr>
        <w:t xml:space="preserve"> </w:t>
      </w:r>
      <w:r w:rsidR="00D47842" w:rsidRPr="0054621D">
        <w:rPr>
          <w:rFonts w:cstheme="minorHAnsi"/>
        </w:rPr>
        <w:t xml:space="preserve">können </w:t>
      </w:r>
      <w:r w:rsidR="00E12B6B" w:rsidRPr="0054621D">
        <w:rPr>
          <w:rFonts w:cstheme="minorHAnsi"/>
        </w:rPr>
        <w:t xml:space="preserve">gegenüber dem Darlehensnehmer </w:t>
      </w:r>
      <w:r w:rsidR="00D47842" w:rsidRPr="0054621D">
        <w:rPr>
          <w:rFonts w:cstheme="minorHAnsi"/>
        </w:rPr>
        <w:t>nicht geltend gemacht werden</w:t>
      </w:r>
      <w:r w:rsidR="00E12B6B" w:rsidRPr="0054621D">
        <w:rPr>
          <w:rFonts w:cstheme="minorHAnsi"/>
        </w:rPr>
        <w:t xml:space="preserve">, wenn dies für den Darlehensnehmer einen Insolvenzgrund herbeiführen würde. </w:t>
      </w:r>
      <w:r w:rsidR="00E31482" w:rsidRPr="0054621D">
        <w:rPr>
          <w:rFonts w:cstheme="minorHAnsi"/>
        </w:rPr>
        <w:t>Das bedeutet, dass die Zahlung von Zins und Tilgung des Darlehens keine Insolvenz de</w:t>
      </w:r>
      <w:r w:rsidR="00B46FFA" w:rsidRPr="0054621D">
        <w:rPr>
          <w:rFonts w:cstheme="minorHAnsi"/>
        </w:rPr>
        <w:t>s Darlehensnehmers</w:t>
      </w:r>
      <w:r w:rsidR="00E31482" w:rsidRPr="0054621D">
        <w:rPr>
          <w:rFonts w:cstheme="minorHAnsi"/>
        </w:rPr>
        <w:t xml:space="preserve"> auslösen darf. Dann dürften weder Zinsen noch Tilgungszahlungen an die </w:t>
      </w:r>
      <w:r w:rsidR="00CB5575" w:rsidRPr="0054621D">
        <w:rPr>
          <w:rFonts w:cstheme="minorHAnsi"/>
        </w:rPr>
        <w:t>Nachrangdarlehensgeber</w:t>
      </w:r>
      <w:r w:rsidR="00C97A90" w:rsidRPr="0054621D">
        <w:rPr>
          <w:rFonts w:cstheme="minorHAnsi"/>
        </w:rPr>
        <w:t xml:space="preserve"> </w:t>
      </w:r>
      <w:r w:rsidR="00E31482" w:rsidRPr="0054621D">
        <w:rPr>
          <w:rFonts w:cstheme="minorHAnsi"/>
        </w:rPr>
        <w:t xml:space="preserve">geleistet werden. </w:t>
      </w:r>
      <w:r w:rsidR="00BF7F28" w:rsidRPr="0054621D">
        <w:rPr>
          <w:rFonts w:cstheme="minorHAnsi"/>
        </w:rPr>
        <w:t xml:space="preserve">Die </w:t>
      </w:r>
      <w:r w:rsidR="00D6310F" w:rsidRPr="0054621D">
        <w:rPr>
          <w:rFonts w:cstheme="minorHAnsi"/>
        </w:rPr>
        <w:t xml:space="preserve">Nachrangforderungen </w:t>
      </w:r>
      <w:r w:rsidR="00BF7F28" w:rsidRPr="0054621D">
        <w:rPr>
          <w:rFonts w:cstheme="minorHAnsi"/>
        </w:rPr>
        <w:t xml:space="preserve">des </w:t>
      </w:r>
      <w:r w:rsidR="00CB5575" w:rsidRPr="0054621D">
        <w:rPr>
          <w:rFonts w:cstheme="minorHAnsi"/>
        </w:rPr>
        <w:t>Nachrangdarlehensgeber</w:t>
      </w:r>
      <w:r w:rsidR="00C97A90" w:rsidRPr="0054621D">
        <w:rPr>
          <w:rFonts w:cstheme="minorHAnsi"/>
        </w:rPr>
        <w:t xml:space="preserve">s </w:t>
      </w:r>
      <w:r w:rsidR="00BF7F28" w:rsidRPr="0054621D">
        <w:rPr>
          <w:rFonts w:cstheme="minorHAnsi"/>
        </w:rPr>
        <w:t>treten außerdem</w:t>
      </w:r>
      <w:r w:rsidR="009E4A64" w:rsidRPr="0054621D">
        <w:rPr>
          <w:rFonts w:cstheme="minorHAnsi"/>
        </w:rPr>
        <w:t xml:space="preserve"> im Falle der Durchführung eines Liquidationsverfahrens</w:t>
      </w:r>
      <w:r w:rsidR="00387858" w:rsidRPr="0054621D">
        <w:rPr>
          <w:rFonts w:cstheme="minorHAnsi"/>
        </w:rPr>
        <w:t xml:space="preserve"> und</w:t>
      </w:r>
      <w:r w:rsidR="00BF7F28" w:rsidRPr="0054621D">
        <w:rPr>
          <w:rFonts w:cstheme="minorHAnsi"/>
        </w:rPr>
        <w:t xml:space="preserve"> </w:t>
      </w:r>
      <w:r w:rsidR="00B119D8" w:rsidRPr="0054621D">
        <w:rPr>
          <w:rFonts w:cstheme="minorHAnsi"/>
        </w:rPr>
        <w:t xml:space="preserve">im Falle der Insolvenz des </w:t>
      </w:r>
      <w:r w:rsidR="00AF6DE5" w:rsidRPr="0054621D">
        <w:rPr>
          <w:rFonts w:cstheme="minorHAnsi"/>
        </w:rPr>
        <w:t xml:space="preserve">Darlehensnehmers </w:t>
      </w:r>
      <w:r w:rsidR="00D47842" w:rsidRPr="0054621D">
        <w:rPr>
          <w:rFonts w:cstheme="minorHAnsi"/>
        </w:rPr>
        <w:t xml:space="preserve">im Rang </w:t>
      </w:r>
      <w:r w:rsidR="00BF7F28" w:rsidRPr="0054621D">
        <w:rPr>
          <w:rFonts w:cstheme="minorHAnsi"/>
        </w:rPr>
        <w:t xml:space="preserve">gegenüber sämtlichen gegenwärtigen und künftigen Forderungen aller nicht nachrangigen Gläubiger </w:t>
      </w:r>
      <w:r w:rsidR="00751551" w:rsidRPr="0054621D">
        <w:rPr>
          <w:rFonts w:cstheme="minorHAnsi"/>
        </w:rPr>
        <w:t xml:space="preserve">des Darlehensnehmers </w:t>
      </w:r>
      <w:r w:rsidR="00BF7F28" w:rsidRPr="0054621D">
        <w:rPr>
          <w:rFonts w:cstheme="minorHAnsi"/>
        </w:rPr>
        <w:t xml:space="preserve">zurück, das heißt, der </w:t>
      </w:r>
      <w:r w:rsidR="00CB5575" w:rsidRPr="0054621D">
        <w:rPr>
          <w:rFonts w:cstheme="minorHAnsi"/>
        </w:rPr>
        <w:t>Nachrangdarlehensgeber</w:t>
      </w:r>
      <w:r w:rsidR="00353BA8" w:rsidRPr="0054621D">
        <w:rPr>
          <w:rFonts w:cstheme="minorHAnsi"/>
        </w:rPr>
        <w:t xml:space="preserve"> </w:t>
      </w:r>
      <w:r w:rsidR="00BF7F28" w:rsidRPr="0054621D">
        <w:rPr>
          <w:rFonts w:cstheme="minorHAnsi"/>
        </w:rPr>
        <w:t xml:space="preserve">wird mit </w:t>
      </w:r>
      <w:r w:rsidR="00305DAA" w:rsidRPr="0054621D">
        <w:rPr>
          <w:rFonts w:cstheme="minorHAnsi"/>
        </w:rPr>
        <w:t xml:space="preserve">seinen </w:t>
      </w:r>
      <w:r w:rsidR="00BF7F28" w:rsidRPr="0054621D">
        <w:rPr>
          <w:rFonts w:cstheme="minorHAnsi"/>
        </w:rPr>
        <w:t xml:space="preserve">Forderungen erst nach vollständiger und endgültiger Befriedigung sämtlicher </w:t>
      </w:r>
      <w:r w:rsidR="001E6813" w:rsidRPr="0054621D">
        <w:rPr>
          <w:rFonts w:cstheme="minorHAnsi"/>
        </w:rPr>
        <w:t xml:space="preserve">anderer </w:t>
      </w:r>
      <w:r w:rsidR="00BF7F28" w:rsidRPr="0054621D">
        <w:rPr>
          <w:rFonts w:cstheme="minorHAnsi"/>
        </w:rPr>
        <w:t xml:space="preserve">Gläubiger des Darlehensnehmers (mit Ausnahme anderer Rangrücktrittsgläubiger) berücksichtigt. </w:t>
      </w:r>
    </w:p>
    <w:p w14:paraId="06754660" w14:textId="35EB25A5" w:rsidR="005555E8" w:rsidRPr="0054621D" w:rsidRDefault="00D3151C" w:rsidP="00474DB2">
      <w:pPr>
        <w:spacing w:after="240"/>
        <w:jc w:val="both"/>
        <w:rPr>
          <w:rFonts w:cstheme="minorHAnsi"/>
        </w:rPr>
      </w:pPr>
      <w:r w:rsidRPr="0054621D">
        <w:rPr>
          <w:rFonts w:cstheme="minorHAnsi"/>
        </w:rPr>
        <w:t xml:space="preserve">Der </w:t>
      </w:r>
      <w:r w:rsidR="00CB5575" w:rsidRPr="0054621D">
        <w:rPr>
          <w:rFonts w:cstheme="minorHAnsi"/>
        </w:rPr>
        <w:t>Nachrangdarlehensgeber</w:t>
      </w:r>
      <w:r w:rsidR="00A91C33" w:rsidRPr="0054621D">
        <w:rPr>
          <w:rFonts w:cstheme="minorHAnsi"/>
        </w:rPr>
        <w:t xml:space="preserve"> </w:t>
      </w:r>
      <w:r w:rsidRPr="0054621D">
        <w:rPr>
          <w:rFonts w:cstheme="minorHAnsi"/>
        </w:rPr>
        <w:t xml:space="preserve">trägt daher ein unternehmerisches Risiko, das höher ist als das Risiko eines regulären Fremdkapitalgebers. </w:t>
      </w:r>
      <w:r w:rsidR="00BD7BC0" w:rsidRPr="0054621D">
        <w:rPr>
          <w:rFonts w:cstheme="minorHAnsi"/>
        </w:rPr>
        <w:t xml:space="preserve">Der </w:t>
      </w:r>
      <w:r w:rsidR="00CB5575" w:rsidRPr="0054621D">
        <w:rPr>
          <w:rFonts w:cstheme="minorHAnsi"/>
        </w:rPr>
        <w:t>Nachrangdarlehensgeber</w:t>
      </w:r>
      <w:r w:rsidR="00BD7BC0" w:rsidRPr="0054621D">
        <w:rPr>
          <w:rFonts w:cstheme="minorHAnsi"/>
        </w:rPr>
        <w:t xml:space="preserve"> wird dabei nicht selbst Gesellschafter </w:t>
      </w:r>
      <w:r w:rsidR="00FE519A" w:rsidRPr="0054621D">
        <w:rPr>
          <w:rFonts w:cstheme="minorHAnsi"/>
        </w:rPr>
        <w:t xml:space="preserve">des Darlehensnehmers </w:t>
      </w:r>
      <w:r w:rsidR="00BD7BC0" w:rsidRPr="0054621D">
        <w:rPr>
          <w:rFonts w:cstheme="minorHAnsi"/>
        </w:rPr>
        <w:t xml:space="preserve">und erwirbt keine Gesellschafterrechte. </w:t>
      </w:r>
      <w:r w:rsidR="00201D78" w:rsidRPr="0054621D">
        <w:rPr>
          <w:rFonts w:cstheme="minorHAnsi"/>
        </w:rPr>
        <w:t xml:space="preserve">Es handelt sich nicht um eine sogenannte mündelsichere Beteiligung, sondern um eine unternehmerische </w:t>
      </w:r>
      <w:r w:rsidR="00E01ECB" w:rsidRPr="0054621D">
        <w:rPr>
          <w:rFonts w:cstheme="minorHAnsi"/>
        </w:rPr>
        <w:t>Finanzierung</w:t>
      </w:r>
      <w:r w:rsidR="00201D78" w:rsidRPr="0054621D">
        <w:rPr>
          <w:rFonts w:cstheme="minorHAnsi"/>
        </w:rPr>
        <w:t xml:space="preserve"> mit eigenkapitalähnlicher Haftungsfunktion. </w:t>
      </w:r>
    </w:p>
    <w:p w14:paraId="57849E8F" w14:textId="63CA6C03" w:rsidR="008A7D73" w:rsidRPr="0054621D" w:rsidRDefault="008A7D73" w:rsidP="00474DB2">
      <w:pPr>
        <w:spacing w:after="240"/>
        <w:jc w:val="both"/>
        <w:rPr>
          <w:rFonts w:cstheme="minorHAnsi"/>
        </w:rPr>
      </w:pPr>
      <w:r w:rsidRPr="0054621D">
        <w:rPr>
          <w:rFonts w:cstheme="minorHAnsi"/>
        </w:rPr>
        <w:t>Der qualifizierte Rangrücktritt könnte sich wie folgt auswirken:</w:t>
      </w:r>
      <w:r w:rsidR="00C24719" w:rsidRPr="0054621D">
        <w:rPr>
          <w:rFonts w:cstheme="minorHAnsi"/>
        </w:rPr>
        <w:t xml:space="preserve"> </w:t>
      </w:r>
      <w:r w:rsidRPr="0054621D">
        <w:rPr>
          <w:rFonts w:cstheme="minorHAnsi"/>
        </w:rPr>
        <w:t>Der Darlehensnehmer würde die Zins</w:t>
      </w:r>
      <w:r w:rsidR="004211D2" w:rsidRPr="0054621D">
        <w:rPr>
          <w:rFonts w:cstheme="minorHAnsi"/>
        </w:rPr>
        <w:t>- und Tilgungs</w:t>
      </w:r>
      <w:r w:rsidRPr="0054621D">
        <w:rPr>
          <w:rFonts w:cstheme="minorHAnsi"/>
        </w:rPr>
        <w:t xml:space="preserve">zahlung </w:t>
      </w:r>
      <w:r w:rsidR="00EB336C" w:rsidRPr="0054621D">
        <w:rPr>
          <w:rFonts w:cstheme="minorHAnsi"/>
        </w:rPr>
        <w:t xml:space="preserve">bei Insolvenznähe </w:t>
      </w:r>
      <w:r w:rsidRPr="0054621D">
        <w:rPr>
          <w:rFonts w:cstheme="minorHAnsi"/>
        </w:rPr>
        <w:t>so lange aussetzen müssen, wie er dazu verpflichtet ist.</w:t>
      </w:r>
      <w:r w:rsidR="00CD014F" w:rsidRPr="0054621D">
        <w:rPr>
          <w:rFonts w:cstheme="minorHAnsi"/>
        </w:rPr>
        <w:t xml:space="preserve"> </w:t>
      </w:r>
      <w:r w:rsidR="00632767" w:rsidRPr="0054621D">
        <w:rPr>
          <w:rFonts w:cstheme="minorHAnsi"/>
        </w:rPr>
        <w:t xml:space="preserve">Der </w:t>
      </w:r>
      <w:r w:rsidR="00CB5575" w:rsidRPr="0054621D">
        <w:rPr>
          <w:rFonts w:cstheme="minorHAnsi"/>
        </w:rPr>
        <w:t>Nachrangdarlehensgeber</w:t>
      </w:r>
      <w:r w:rsidR="00A2136A" w:rsidRPr="0054621D">
        <w:rPr>
          <w:rFonts w:cstheme="minorHAnsi"/>
        </w:rPr>
        <w:t xml:space="preserve"> </w:t>
      </w:r>
      <w:r w:rsidR="00632767" w:rsidRPr="0054621D">
        <w:rPr>
          <w:rFonts w:cstheme="minorHAnsi"/>
        </w:rPr>
        <w:t>dürfte</w:t>
      </w:r>
      <w:r w:rsidR="00D01CB8" w:rsidRPr="0054621D">
        <w:rPr>
          <w:rFonts w:cstheme="minorHAnsi"/>
        </w:rPr>
        <w:t xml:space="preserve"> </w:t>
      </w:r>
      <w:r w:rsidR="00632767" w:rsidRPr="0054621D">
        <w:rPr>
          <w:rFonts w:cstheme="minorHAnsi"/>
        </w:rPr>
        <w:t xml:space="preserve">seine </w:t>
      </w:r>
      <w:r w:rsidRPr="0054621D">
        <w:rPr>
          <w:rFonts w:cstheme="minorHAnsi"/>
        </w:rPr>
        <w:t xml:space="preserve">Forderungen </w:t>
      </w:r>
      <w:r w:rsidR="00D01CB8" w:rsidRPr="0054621D">
        <w:rPr>
          <w:rFonts w:cstheme="minorHAnsi"/>
        </w:rPr>
        <w:t>bei Fälligkeit nicht einfordern</w:t>
      </w:r>
      <w:r w:rsidRPr="0054621D">
        <w:rPr>
          <w:rFonts w:cstheme="minorHAnsi"/>
        </w:rPr>
        <w:t>.</w:t>
      </w:r>
      <w:r w:rsidR="00CD014F" w:rsidRPr="0054621D">
        <w:rPr>
          <w:rFonts w:cstheme="minorHAnsi"/>
        </w:rPr>
        <w:t xml:space="preserve"> </w:t>
      </w:r>
      <w:r w:rsidR="00632767" w:rsidRPr="0054621D">
        <w:rPr>
          <w:rFonts w:cstheme="minorHAnsi"/>
        </w:rPr>
        <w:t xml:space="preserve">Der </w:t>
      </w:r>
      <w:r w:rsidR="00CB5575" w:rsidRPr="0054621D">
        <w:rPr>
          <w:rFonts w:cstheme="minorHAnsi"/>
        </w:rPr>
        <w:t>Nachrangdarlehensgeber</w:t>
      </w:r>
      <w:r w:rsidR="005E4F7C" w:rsidRPr="0054621D">
        <w:rPr>
          <w:rFonts w:cstheme="minorHAnsi"/>
        </w:rPr>
        <w:t xml:space="preserve"> </w:t>
      </w:r>
      <w:r w:rsidR="00632767" w:rsidRPr="0054621D">
        <w:rPr>
          <w:rFonts w:cstheme="minorHAnsi"/>
        </w:rPr>
        <w:t>müsste</w:t>
      </w:r>
      <w:r w:rsidR="00CD014F" w:rsidRPr="0054621D">
        <w:rPr>
          <w:rFonts w:cstheme="minorHAnsi"/>
        </w:rPr>
        <w:t xml:space="preserve"> eine Zinszah</w:t>
      </w:r>
      <w:r w:rsidRPr="0054621D">
        <w:rPr>
          <w:rFonts w:cstheme="minorHAnsi"/>
        </w:rPr>
        <w:t xml:space="preserve">lung, die </w:t>
      </w:r>
      <w:r w:rsidR="00632767" w:rsidRPr="0054621D">
        <w:rPr>
          <w:rFonts w:cstheme="minorHAnsi"/>
        </w:rPr>
        <w:t xml:space="preserve">er </w:t>
      </w:r>
      <w:r w:rsidRPr="0054621D">
        <w:rPr>
          <w:rFonts w:cstheme="minorHAnsi"/>
        </w:rPr>
        <w:t>trotz der Nachrangig</w:t>
      </w:r>
      <w:r w:rsidR="00632767" w:rsidRPr="0054621D">
        <w:rPr>
          <w:rFonts w:cstheme="minorHAnsi"/>
        </w:rPr>
        <w:t>keit zu Unrecht erhalten hat</w:t>
      </w:r>
      <w:r w:rsidRPr="0054621D">
        <w:rPr>
          <w:rFonts w:cstheme="minorHAnsi"/>
        </w:rPr>
        <w:t xml:space="preserve">, auf Anforderung an </w:t>
      </w:r>
      <w:r w:rsidR="00CD014F" w:rsidRPr="0054621D">
        <w:rPr>
          <w:rFonts w:cstheme="minorHAnsi"/>
        </w:rPr>
        <w:t xml:space="preserve">den Darlehensnehmer </w:t>
      </w:r>
      <w:r w:rsidRPr="0054621D">
        <w:rPr>
          <w:rFonts w:cstheme="minorHAnsi"/>
        </w:rPr>
        <w:t>zurück</w:t>
      </w:r>
      <w:r w:rsidR="00A50459" w:rsidRPr="0054621D">
        <w:rPr>
          <w:rFonts w:cstheme="minorHAnsi"/>
        </w:rPr>
        <w:t>zahlen</w:t>
      </w:r>
      <w:r w:rsidRPr="0054621D">
        <w:rPr>
          <w:rFonts w:cstheme="minorHAnsi"/>
        </w:rPr>
        <w:t xml:space="preserve">. Es besteht auch die Möglichkeit, dass </w:t>
      </w:r>
      <w:r w:rsidR="004211D2" w:rsidRPr="0054621D">
        <w:rPr>
          <w:rFonts w:cstheme="minorHAnsi"/>
        </w:rPr>
        <w:t xml:space="preserve">der </w:t>
      </w:r>
      <w:r w:rsidR="00CB5575" w:rsidRPr="0054621D">
        <w:rPr>
          <w:rFonts w:cstheme="minorHAnsi"/>
        </w:rPr>
        <w:t>Nachrangdarlehensgeber</w:t>
      </w:r>
      <w:r w:rsidR="005E4F7C" w:rsidRPr="0054621D">
        <w:rPr>
          <w:rFonts w:cstheme="minorHAnsi"/>
        </w:rPr>
        <w:t xml:space="preserve"> </w:t>
      </w:r>
      <w:r w:rsidRPr="0054621D">
        <w:rPr>
          <w:rFonts w:cstheme="minorHAnsi"/>
        </w:rPr>
        <w:t xml:space="preserve">die Zinszahlungen ebenso wie die Tilgungszahlungen </w:t>
      </w:r>
      <w:r w:rsidR="004211D2" w:rsidRPr="0054621D">
        <w:rPr>
          <w:rFonts w:cstheme="minorHAnsi"/>
        </w:rPr>
        <w:t xml:space="preserve">im Ergebnis aufgrund des Nachrangs </w:t>
      </w:r>
      <w:r w:rsidRPr="0054621D">
        <w:rPr>
          <w:rFonts w:cstheme="minorHAnsi"/>
        </w:rPr>
        <w:t xml:space="preserve">nicht </w:t>
      </w:r>
      <w:r w:rsidR="004211D2" w:rsidRPr="0054621D">
        <w:rPr>
          <w:rFonts w:cstheme="minorHAnsi"/>
        </w:rPr>
        <w:t>erhält</w:t>
      </w:r>
      <w:r w:rsidRPr="0054621D">
        <w:rPr>
          <w:rFonts w:cstheme="minorHAnsi"/>
        </w:rPr>
        <w:t xml:space="preserve">. Zudem könnte es sein, dass </w:t>
      </w:r>
      <w:r w:rsidR="00EB336C" w:rsidRPr="0054621D">
        <w:rPr>
          <w:rFonts w:cstheme="minorHAnsi"/>
        </w:rPr>
        <w:t xml:space="preserve">der </w:t>
      </w:r>
      <w:r w:rsidR="00CB5575" w:rsidRPr="0054621D">
        <w:rPr>
          <w:rFonts w:cstheme="minorHAnsi"/>
        </w:rPr>
        <w:t>Nachrangdarlehensgeber</w:t>
      </w:r>
      <w:r w:rsidR="0023360A" w:rsidRPr="0054621D">
        <w:rPr>
          <w:rFonts w:cstheme="minorHAnsi"/>
        </w:rPr>
        <w:t xml:space="preserve"> </w:t>
      </w:r>
      <w:r w:rsidRPr="0054621D">
        <w:rPr>
          <w:rFonts w:cstheme="minorHAnsi"/>
        </w:rPr>
        <w:t xml:space="preserve">für bereits gezahlte Zinsen Steuern entrichten </w:t>
      </w:r>
      <w:r w:rsidR="00EB336C" w:rsidRPr="0054621D">
        <w:rPr>
          <w:rFonts w:cstheme="minorHAnsi"/>
        </w:rPr>
        <w:t>muss</w:t>
      </w:r>
      <w:r w:rsidRPr="0054621D">
        <w:rPr>
          <w:rFonts w:cstheme="minorHAnsi"/>
        </w:rPr>
        <w:t xml:space="preserve">, obwohl </w:t>
      </w:r>
      <w:r w:rsidR="00EB336C" w:rsidRPr="0054621D">
        <w:rPr>
          <w:rFonts w:cstheme="minorHAnsi"/>
        </w:rPr>
        <w:t xml:space="preserve">er </w:t>
      </w:r>
      <w:r w:rsidRPr="0054621D">
        <w:rPr>
          <w:rFonts w:cstheme="minorHAnsi"/>
        </w:rPr>
        <w:t xml:space="preserve">zur Rückzahlung der erhaltenen Beträge verpflichtet </w:t>
      </w:r>
      <w:r w:rsidR="00EB336C" w:rsidRPr="0054621D">
        <w:rPr>
          <w:rFonts w:cstheme="minorHAnsi"/>
        </w:rPr>
        <w:t>ist</w:t>
      </w:r>
      <w:r w:rsidRPr="0054621D">
        <w:rPr>
          <w:rFonts w:cstheme="minorHAnsi"/>
        </w:rPr>
        <w:t>.</w:t>
      </w:r>
    </w:p>
    <w:p w14:paraId="18B22BBC" w14:textId="77777777" w:rsidR="00425FD3" w:rsidRPr="0054621D" w:rsidRDefault="00425FD3" w:rsidP="00474DB2">
      <w:pPr>
        <w:pStyle w:val="ListParagraph"/>
        <w:keepNext/>
        <w:numPr>
          <w:ilvl w:val="0"/>
          <w:numId w:val="2"/>
        </w:numPr>
        <w:spacing w:after="240"/>
        <w:ind w:hanging="720"/>
        <w:contextualSpacing w:val="0"/>
        <w:jc w:val="both"/>
        <w:rPr>
          <w:rFonts w:cstheme="minorHAnsi"/>
          <w:b/>
        </w:rPr>
      </w:pPr>
      <w:r w:rsidRPr="0054621D">
        <w:rPr>
          <w:rFonts w:cstheme="minorHAnsi"/>
          <w:b/>
        </w:rPr>
        <w:t>Fehlende Besicherung der Darlehen</w:t>
      </w:r>
    </w:p>
    <w:p w14:paraId="06449ABA" w14:textId="470437EB" w:rsidR="00425FD3" w:rsidRPr="0054621D" w:rsidRDefault="00425FD3" w:rsidP="00474DB2">
      <w:pPr>
        <w:spacing w:after="240"/>
        <w:jc w:val="both"/>
        <w:rPr>
          <w:rFonts w:cstheme="minorHAnsi"/>
        </w:rPr>
      </w:pPr>
      <w:r w:rsidRPr="0054621D">
        <w:rPr>
          <w:rFonts w:cstheme="minorHAnsi"/>
        </w:rPr>
        <w:t xml:space="preserve">Da das Darlehen unbesichert ist, könnte der </w:t>
      </w:r>
      <w:r w:rsidR="00CB5575" w:rsidRPr="0054621D">
        <w:rPr>
          <w:rFonts w:cstheme="minorHAnsi"/>
        </w:rPr>
        <w:t>Nachrangdarlehensgeber</w:t>
      </w:r>
      <w:r w:rsidRPr="0054621D">
        <w:rPr>
          <w:rFonts w:cstheme="minorHAnsi"/>
        </w:rPr>
        <w:t xml:space="preserve"> im Insolvenzfall des Darlehensnehmers weder seine Forderung auf Rückzahlung des eingesetzten Kapitals noch seine Zinszahlungsansprüche aus Sicherheiten befriedigen. Im Insolvenzfall könnte dies dazu führen, dass die Ansprüche der einzelnen </w:t>
      </w:r>
      <w:r w:rsidR="00CB5575" w:rsidRPr="0054621D">
        <w:rPr>
          <w:rFonts w:cstheme="minorHAnsi"/>
        </w:rPr>
        <w:t>Nachrangdarlehensgeber</w:t>
      </w:r>
      <w:r w:rsidRPr="0054621D">
        <w:rPr>
          <w:rFonts w:cstheme="minorHAnsi"/>
        </w:rPr>
        <w:t xml:space="preserve"> nicht oder nur zu einem geringeren Teil durchgesetzt werden können. Dies könnte dazu führen, dass Zins- oder Tilgungszahlungen nicht oder </w:t>
      </w:r>
      <w:r w:rsidRPr="0054621D">
        <w:rPr>
          <w:rFonts w:cstheme="minorHAnsi"/>
        </w:rPr>
        <w:lastRenderedPageBreak/>
        <w:t>nicht rechtzeitig geleistet werden können oder dass es zum teilweisen oder vollständigen Verlust des investierten Kapitals kommt.</w:t>
      </w:r>
    </w:p>
    <w:p w14:paraId="676E0502" w14:textId="72793DDD" w:rsidR="000F3CFC" w:rsidRPr="0054621D" w:rsidRDefault="00D15FC7" w:rsidP="00474DB2">
      <w:pPr>
        <w:pStyle w:val="ListParagraph"/>
        <w:keepNext/>
        <w:numPr>
          <w:ilvl w:val="0"/>
          <w:numId w:val="2"/>
        </w:numPr>
        <w:spacing w:after="240"/>
        <w:ind w:hanging="720"/>
        <w:contextualSpacing w:val="0"/>
        <w:jc w:val="both"/>
        <w:rPr>
          <w:rFonts w:cstheme="minorHAnsi"/>
          <w:b/>
        </w:rPr>
      </w:pPr>
      <w:r w:rsidRPr="0054621D">
        <w:rPr>
          <w:rFonts w:cstheme="minorHAnsi"/>
          <w:b/>
        </w:rPr>
        <w:t xml:space="preserve">Teilweise </w:t>
      </w:r>
      <w:r w:rsidR="000F3CFC" w:rsidRPr="0054621D">
        <w:rPr>
          <w:rFonts w:cstheme="minorHAnsi"/>
          <w:b/>
        </w:rPr>
        <w:t xml:space="preserve">Endfälligkeit der Tilgung </w:t>
      </w:r>
    </w:p>
    <w:p w14:paraId="02C3025C" w14:textId="67A2F574" w:rsidR="000F3CFC" w:rsidRPr="0054621D" w:rsidRDefault="005D5AEA" w:rsidP="00474DB2">
      <w:pPr>
        <w:spacing w:after="240"/>
        <w:jc w:val="both"/>
        <w:rPr>
          <w:rFonts w:cstheme="minorHAnsi"/>
        </w:rPr>
      </w:pPr>
      <w:r w:rsidRPr="0054621D">
        <w:rPr>
          <w:rFonts w:cstheme="minorHAnsi"/>
        </w:rPr>
        <w:t>Die Tilgung des Nachrangdarlehens soll in Höhe von 85% am Ende der Laufzeit erfolgen (Endfälligkeit des 85%igen Teilbetrags der Darlehensvaluta zur Rückzahlung zum 30.04.2026).</w:t>
      </w:r>
      <w:r w:rsidR="002224ED" w:rsidRPr="0054621D">
        <w:rPr>
          <w:rFonts w:cstheme="minorHAnsi"/>
        </w:rPr>
        <w:t xml:space="preserve"> </w:t>
      </w:r>
      <w:r w:rsidR="000F3CFC" w:rsidRPr="0054621D">
        <w:rPr>
          <w:rFonts w:cstheme="minorHAnsi"/>
        </w:rPr>
        <w:t>Sollte der Darlehensnehmer bis dahin das für die Tilgung erforderliche Kapital nicht erwirtschaften können und/oder keine dann erforderliche Anschlussfinanzierung erhalten, besteht das Risiko, dass die endfällige Tilgung nicht oder nicht zum geplanten Zeitpunkt erfolgen kann.</w:t>
      </w:r>
      <w:r w:rsidR="00E65130" w:rsidRPr="0054621D">
        <w:rPr>
          <w:rFonts w:cstheme="minorHAnsi"/>
        </w:rPr>
        <w:t xml:space="preserve"> Dies kann insbesondere der Fall sein, wenn der Projektinhaber, an den der Darlehensnehmer die Darlehensvaluta weiterleitet (s.u. Ziffer 2.c), seinen Zins- und Tilgungsverpflichtungen aus dem mit diesem geschlossenen Darlehensvertrag nicht oder nicht rechtzeitig nachkommt.</w:t>
      </w:r>
    </w:p>
    <w:p w14:paraId="0BF1411A" w14:textId="626965D6" w:rsidR="00C815F3" w:rsidRPr="0054621D" w:rsidRDefault="00C815F3" w:rsidP="00474DB2">
      <w:pPr>
        <w:pStyle w:val="ListParagraph"/>
        <w:keepNext/>
        <w:numPr>
          <w:ilvl w:val="0"/>
          <w:numId w:val="2"/>
        </w:numPr>
        <w:spacing w:after="240"/>
        <w:ind w:hanging="720"/>
        <w:contextualSpacing w:val="0"/>
        <w:jc w:val="both"/>
        <w:rPr>
          <w:rFonts w:cstheme="minorHAnsi"/>
          <w:b/>
        </w:rPr>
      </w:pPr>
      <w:proofErr w:type="spellStart"/>
      <w:r w:rsidRPr="0054621D">
        <w:rPr>
          <w:rFonts w:cstheme="minorHAnsi"/>
          <w:b/>
        </w:rPr>
        <w:t>Veräußer</w:t>
      </w:r>
      <w:r w:rsidR="00DB561C" w:rsidRPr="0054621D">
        <w:rPr>
          <w:rFonts w:cstheme="minorHAnsi"/>
          <w:b/>
        </w:rPr>
        <w:t>lich</w:t>
      </w:r>
      <w:r w:rsidRPr="0054621D">
        <w:rPr>
          <w:rFonts w:cstheme="minorHAnsi"/>
          <w:b/>
        </w:rPr>
        <w:t>keit</w:t>
      </w:r>
      <w:proofErr w:type="spellEnd"/>
      <w:r w:rsidRPr="0054621D">
        <w:rPr>
          <w:rFonts w:cstheme="minorHAnsi"/>
          <w:b/>
        </w:rPr>
        <w:t xml:space="preserve"> (Fungibilität)</w:t>
      </w:r>
      <w:r w:rsidR="006805F4" w:rsidRPr="0054621D">
        <w:rPr>
          <w:rFonts w:cstheme="minorHAnsi"/>
          <w:b/>
        </w:rPr>
        <w:t>,</w:t>
      </w:r>
      <w:r w:rsidRPr="0054621D">
        <w:rPr>
          <w:rFonts w:cstheme="minorHAnsi"/>
          <w:b/>
        </w:rPr>
        <w:t xml:space="preserve"> Verfügbarkeit des investierten Kapitals</w:t>
      </w:r>
      <w:r w:rsidR="001E5E6A" w:rsidRPr="0054621D">
        <w:rPr>
          <w:rFonts w:cstheme="minorHAnsi"/>
          <w:b/>
        </w:rPr>
        <w:t>, langfristige Bindung</w:t>
      </w:r>
      <w:r w:rsidRPr="0054621D">
        <w:rPr>
          <w:rFonts w:cstheme="minorHAnsi"/>
          <w:b/>
        </w:rPr>
        <w:t xml:space="preserve"> </w:t>
      </w:r>
    </w:p>
    <w:p w14:paraId="2517E1EF" w14:textId="04E191F8" w:rsidR="006974B8" w:rsidRPr="0054621D" w:rsidRDefault="00C815F3" w:rsidP="00474DB2">
      <w:pPr>
        <w:spacing w:after="240"/>
        <w:jc w:val="both"/>
        <w:rPr>
          <w:rFonts w:cstheme="minorHAnsi"/>
        </w:rPr>
      </w:pPr>
      <w:r w:rsidRPr="0054621D">
        <w:rPr>
          <w:rFonts w:cstheme="minorHAnsi"/>
        </w:rPr>
        <w:t xml:space="preserve">Die Darlehensverträge sind mit einer festen Vertragslaufzeit versehen. Eine vorzeitige ordentliche Kündigung durch den </w:t>
      </w:r>
      <w:r w:rsidR="00CB5575" w:rsidRPr="0054621D">
        <w:rPr>
          <w:rFonts w:cstheme="minorHAnsi"/>
        </w:rPr>
        <w:t>Nachrangdarlehensgeber</w:t>
      </w:r>
      <w:r w:rsidRPr="0054621D">
        <w:rPr>
          <w:rFonts w:cstheme="minorHAnsi"/>
        </w:rPr>
        <w:t xml:space="preserve"> ist nicht vorgesehen.</w:t>
      </w:r>
      <w:r w:rsidR="00537A61" w:rsidRPr="0054621D">
        <w:rPr>
          <w:rFonts w:cstheme="minorHAnsi"/>
        </w:rPr>
        <w:t xml:space="preserve"> </w:t>
      </w:r>
    </w:p>
    <w:p w14:paraId="415B450F" w14:textId="6C6CF4C8" w:rsidR="00C815F3" w:rsidRPr="0054621D" w:rsidRDefault="00C815F3" w:rsidP="00474DB2">
      <w:pPr>
        <w:spacing w:after="240"/>
        <w:jc w:val="both"/>
        <w:rPr>
          <w:rFonts w:cstheme="minorHAnsi"/>
        </w:rPr>
      </w:pPr>
      <w:r w:rsidRPr="0054621D">
        <w:rPr>
          <w:rFonts w:cstheme="minorHAnsi"/>
        </w:rPr>
        <w:t xml:space="preserve">Nachrangdarlehen sind keine Wertpapiere und auch nicht mit diesen vergleichbar. Derzeit existiert kein liquider Zweitmarkt für die abgeschlossenen Darlehensverträge. Eine Veräußerung des Darlehens durch den </w:t>
      </w:r>
      <w:r w:rsidR="00CB5575" w:rsidRPr="0054621D">
        <w:rPr>
          <w:rFonts w:cstheme="minorHAnsi"/>
        </w:rPr>
        <w:t>Nachrangdarlehensgeber</w:t>
      </w:r>
      <w:r w:rsidRPr="0054621D">
        <w:rPr>
          <w:rFonts w:cstheme="minorHAnsi"/>
        </w:rPr>
        <w:t xml:space="preserve"> ist zwar grundsätzlich rechtlich möglich. Die Möglichkeit zum Verkauf ist jedoch aufgrund der geringen Marktgröße und Handelsvolumina nicht sichergestellt. Es ist auch möglich, dass eine Abtretung nicht zum Nennwert der Forderung erfolgen kann. Es könnte also sein, dass bei einem Veräußerungswunsch kein Käufer gefunden wird oder der Verkauf nur zu einem geringeren Preis als gewünscht erfolgen kann.</w:t>
      </w:r>
      <w:r w:rsidR="00EE013D" w:rsidRPr="0054621D">
        <w:rPr>
          <w:rFonts w:cstheme="minorHAnsi"/>
        </w:rPr>
        <w:t xml:space="preserve"> </w:t>
      </w:r>
      <w:r w:rsidRPr="0054621D">
        <w:rPr>
          <w:rFonts w:cstheme="minorHAnsi"/>
        </w:rPr>
        <w:t xml:space="preserve">Das investierte Kapital kann daher bis zum Ablauf der Vertragslaufzeit gebunden sein. </w:t>
      </w:r>
    </w:p>
    <w:p w14:paraId="65751648" w14:textId="196E5034" w:rsidR="00C815F3" w:rsidRPr="0054621D" w:rsidRDefault="00217B6F" w:rsidP="00474DB2">
      <w:pPr>
        <w:pStyle w:val="ListParagraph"/>
        <w:keepNext/>
        <w:numPr>
          <w:ilvl w:val="0"/>
          <w:numId w:val="2"/>
        </w:numPr>
        <w:spacing w:after="240"/>
        <w:ind w:hanging="720"/>
        <w:contextualSpacing w:val="0"/>
        <w:jc w:val="both"/>
        <w:rPr>
          <w:rFonts w:cstheme="minorHAnsi"/>
          <w:b/>
        </w:rPr>
      </w:pPr>
      <w:r w:rsidRPr="0054621D">
        <w:rPr>
          <w:rFonts w:cstheme="minorHAnsi"/>
          <w:b/>
        </w:rPr>
        <w:t xml:space="preserve">Mögliche </w:t>
      </w:r>
      <w:r w:rsidR="00E40444" w:rsidRPr="0054621D">
        <w:rPr>
          <w:rFonts w:cstheme="minorHAnsi"/>
          <w:b/>
        </w:rPr>
        <w:t>Verlängerung der Kapitalbindung</w:t>
      </w:r>
    </w:p>
    <w:p w14:paraId="1C5A1179" w14:textId="5601E84C" w:rsidR="00474DB2" w:rsidRPr="0054621D" w:rsidRDefault="00C815F3" w:rsidP="00474DB2">
      <w:pPr>
        <w:spacing w:after="240"/>
        <w:jc w:val="both"/>
        <w:rPr>
          <w:rFonts w:cstheme="minorHAnsi"/>
        </w:rPr>
      </w:pPr>
      <w:r w:rsidRPr="0054621D">
        <w:rPr>
          <w:rFonts w:cstheme="minorHAnsi"/>
        </w:rPr>
        <w:t xml:space="preserve">Da es sich um ein nachrangiges Darlehen handelt, darf das Darlehen nur zurückgezahlt werden, wenn dies bei dem Darlehensnehmer nicht zur Zahlungsunfähigkeit </w:t>
      </w:r>
      <w:r w:rsidR="006C47AE" w:rsidRPr="0054621D">
        <w:rPr>
          <w:rFonts w:cstheme="minorHAnsi"/>
        </w:rPr>
        <w:t xml:space="preserve">und/oder Überschuldung </w:t>
      </w:r>
      <w:r w:rsidRPr="0054621D">
        <w:rPr>
          <w:rFonts w:cstheme="minorHAnsi"/>
        </w:rPr>
        <w:t xml:space="preserve">führen würde. Wäre dies der Fall, verlängerte sich die Laufzeit des Darlehens automatisch bis zu dem Zeitpunkt, zu dem dieser Zustand nicht mehr bestünde. </w:t>
      </w:r>
      <w:r w:rsidR="0053592D" w:rsidRPr="0054621D">
        <w:rPr>
          <w:rFonts w:cstheme="minorHAnsi"/>
        </w:rPr>
        <w:t xml:space="preserve">Die Anlage ist damit für </w:t>
      </w:r>
      <w:r w:rsidR="00CB5575" w:rsidRPr="0054621D">
        <w:rPr>
          <w:rFonts w:cstheme="minorHAnsi"/>
        </w:rPr>
        <w:t>Nachrangdarlehensgeber</w:t>
      </w:r>
      <w:r w:rsidR="0053592D" w:rsidRPr="0054621D">
        <w:rPr>
          <w:rFonts w:cstheme="minorHAnsi"/>
        </w:rPr>
        <w:t xml:space="preserve"> nicht empfehlenswert, die darauf angewiesen sind, exakt zum geplanten Laufzeitende ihr Geld zurück zu erhalten.</w:t>
      </w:r>
      <w:r w:rsidR="00CC269F" w:rsidRPr="0054621D">
        <w:rPr>
          <w:rFonts w:cstheme="minorHAnsi"/>
        </w:rPr>
        <w:t xml:space="preserve"> </w:t>
      </w:r>
      <w:r w:rsidR="0053592D" w:rsidRPr="0054621D">
        <w:rPr>
          <w:rFonts w:cstheme="minorHAnsi"/>
        </w:rPr>
        <w:t xml:space="preserve">Würde die wirtschaftliche Schieflage des Darlehensnehmers nicht behoben, könnte es zum Teil- oder Totalverlust des investierten Vermögens und der Zinsansprüche kommen. </w:t>
      </w:r>
    </w:p>
    <w:p w14:paraId="22398BBF" w14:textId="77777777" w:rsidR="00805AE6" w:rsidRPr="0054621D" w:rsidRDefault="00805AE6" w:rsidP="00474DB2">
      <w:pPr>
        <w:spacing w:after="240"/>
        <w:jc w:val="both"/>
        <w:rPr>
          <w:rFonts w:cstheme="minorHAnsi"/>
        </w:rPr>
      </w:pPr>
    </w:p>
    <w:p w14:paraId="5B898B5D" w14:textId="15944860" w:rsidR="00756FBB" w:rsidRPr="0054621D" w:rsidRDefault="00474DB2" w:rsidP="00474DB2">
      <w:pPr>
        <w:pStyle w:val="ListParagraph"/>
        <w:keepNext/>
        <w:numPr>
          <w:ilvl w:val="0"/>
          <w:numId w:val="1"/>
        </w:numPr>
        <w:spacing w:after="240"/>
        <w:ind w:hanging="720"/>
        <w:contextualSpacing w:val="0"/>
        <w:jc w:val="both"/>
        <w:rPr>
          <w:rFonts w:cstheme="minorHAnsi"/>
          <w:b/>
        </w:rPr>
      </w:pPr>
      <w:r w:rsidRPr="0054621D">
        <w:rPr>
          <w:rFonts w:cstheme="minorHAnsi"/>
          <w:b/>
        </w:rPr>
        <w:t>R</w:t>
      </w:r>
      <w:r w:rsidR="00756FBB" w:rsidRPr="0054621D">
        <w:rPr>
          <w:rFonts w:cstheme="minorHAnsi"/>
          <w:b/>
        </w:rPr>
        <w:t xml:space="preserve">isiken auf Ebene des Darlehensnehmers </w:t>
      </w:r>
      <w:r w:rsidR="001F2487" w:rsidRPr="0054621D">
        <w:rPr>
          <w:rFonts w:cstheme="minorHAnsi"/>
          <w:b/>
        </w:rPr>
        <w:t>und des Projektinhabers</w:t>
      </w:r>
    </w:p>
    <w:p w14:paraId="0D8C7137" w14:textId="77777777" w:rsidR="00C76C54" w:rsidRPr="0054621D" w:rsidRDefault="00C76C54" w:rsidP="00474DB2">
      <w:pPr>
        <w:pStyle w:val="ListParagraph"/>
        <w:keepNext/>
        <w:numPr>
          <w:ilvl w:val="0"/>
          <w:numId w:val="4"/>
        </w:numPr>
        <w:spacing w:after="240"/>
        <w:ind w:hanging="720"/>
        <w:contextualSpacing w:val="0"/>
        <w:jc w:val="both"/>
        <w:rPr>
          <w:rFonts w:cstheme="minorHAnsi"/>
          <w:b/>
        </w:rPr>
      </w:pPr>
      <w:r w:rsidRPr="0054621D">
        <w:rPr>
          <w:rFonts w:cstheme="minorHAnsi"/>
          <w:b/>
        </w:rPr>
        <w:t xml:space="preserve">Geschäftsrisiko des Darlehensnehmers </w:t>
      </w:r>
    </w:p>
    <w:p w14:paraId="5FDFF84F" w14:textId="34860F43" w:rsidR="00B61AE3" w:rsidRPr="0054621D" w:rsidRDefault="00BB3DB5" w:rsidP="00474DB2">
      <w:pPr>
        <w:spacing w:after="240"/>
        <w:jc w:val="both"/>
        <w:rPr>
          <w:rFonts w:cstheme="minorHAnsi"/>
        </w:rPr>
      </w:pPr>
      <w:r w:rsidRPr="0054621D">
        <w:rPr>
          <w:rFonts w:cstheme="minorHAnsi"/>
        </w:rPr>
        <w:t xml:space="preserve">Es handelt sich um eine unternehmerische Finanzierung. </w:t>
      </w:r>
      <w:r w:rsidR="00E12B6B" w:rsidRPr="0054621D">
        <w:rPr>
          <w:rFonts w:cstheme="minorHAnsi"/>
        </w:rPr>
        <w:t xml:space="preserve">Der </w:t>
      </w:r>
      <w:r w:rsidR="00CB5575" w:rsidRPr="0054621D">
        <w:rPr>
          <w:rFonts w:cstheme="minorHAnsi"/>
        </w:rPr>
        <w:t>Nachrangdarlehensgeber</w:t>
      </w:r>
      <w:r w:rsidR="00E12B6B" w:rsidRPr="0054621D">
        <w:rPr>
          <w:rFonts w:cstheme="minorHAnsi"/>
        </w:rPr>
        <w:t xml:space="preserve"> trägt das </w:t>
      </w:r>
      <w:r w:rsidR="00C9175A" w:rsidRPr="0054621D">
        <w:rPr>
          <w:rFonts w:cstheme="minorHAnsi"/>
        </w:rPr>
        <w:t xml:space="preserve">Risiko einer nachteiligen Geschäftsentwicklung des Darlehensnehmers. </w:t>
      </w:r>
      <w:r w:rsidR="008A009B" w:rsidRPr="0054621D">
        <w:rPr>
          <w:rFonts w:cstheme="minorHAnsi"/>
        </w:rPr>
        <w:t xml:space="preserve">Es besteht das Risiko, dass dem Darlehensnehmer in Zukunft nicht die erforderlichen Mittel zur Verfügung stehen, um die Zinsforderungen zu erfüllen und die Darlehensvaluta zurückzuzahlen. </w:t>
      </w:r>
      <w:r w:rsidR="001F2487" w:rsidRPr="0054621D">
        <w:rPr>
          <w:rFonts w:cstheme="minorHAnsi"/>
        </w:rPr>
        <w:t>Der</w:t>
      </w:r>
      <w:r w:rsidR="006D1778" w:rsidRPr="0054621D">
        <w:rPr>
          <w:rFonts w:cstheme="minorHAnsi"/>
        </w:rPr>
        <w:t xml:space="preserve"> wirtschaftliche Erfolg </w:t>
      </w:r>
      <w:r w:rsidR="001F2487" w:rsidRPr="0054621D">
        <w:rPr>
          <w:rFonts w:cstheme="minorHAnsi"/>
        </w:rPr>
        <w:t xml:space="preserve">des </w:t>
      </w:r>
      <w:r w:rsidR="001F2487" w:rsidRPr="0054621D">
        <w:rPr>
          <w:rFonts w:cstheme="minorHAnsi"/>
        </w:rPr>
        <w:lastRenderedPageBreak/>
        <w:t>finanzierten Projekts</w:t>
      </w:r>
      <w:r w:rsidR="00C71F72" w:rsidRPr="0054621D">
        <w:rPr>
          <w:rFonts w:cstheme="minorHAnsi"/>
        </w:rPr>
        <w:t xml:space="preserve"> oder anderer Projekte, die der Darlehensnehmer finanziert (s.u. Ziffer 2.</w:t>
      </w:r>
      <w:r w:rsidR="00324566" w:rsidRPr="0054621D">
        <w:rPr>
          <w:rFonts w:cstheme="minorHAnsi"/>
        </w:rPr>
        <w:t>d)</w:t>
      </w:r>
      <w:r w:rsidR="001F2487" w:rsidRPr="0054621D">
        <w:rPr>
          <w:rFonts w:cstheme="minorHAnsi"/>
        </w:rPr>
        <w:t xml:space="preserve"> kann nicht</w:t>
      </w:r>
      <w:r w:rsidR="00810939" w:rsidRPr="0054621D">
        <w:rPr>
          <w:rFonts w:cstheme="minorHAnsi"/>
        </w:rPr>
        <w:t xml:space="preserve"> </w:t>
      </w:r>
      <w:r w:rsidR="006D1778" w:rsidRPr="0054621D">
        <w:rPr>
          <w:rFonts w:cstheme="minorHAnsi"/>
        </w:rPr>
        <w:t xml:space="preserve">mit Sicherheit vorhergesehen werden. </w:t>
      </w:r>
      <w:r w:rsidR="008A009B" w:rsidRPr="0054621D">
        <w:rPr>
          <w:rFonts w:cstheme="minorHAnsi"/>
        </w:rPr>
        <w:t xml:space="preserve">Der Darlehensnehmer kann Höhe und Zeitpunkt von Zuflüssen weder zusichern noch garantieren. </w:t>
      </w:r>
    </w:p>
    <w:p w14:paraId="2E45EAC8" w14:textId="745714B4" w:rsidR="00026D05" w:rsidRPr="0054621D" w:rsidRDefault="00026D05" w:rsidP="00474DB2">
      <w:pPr>
        <w:pStyle w:val="ListParagraph"/>
        <w:keepNext/>
        <w:numPr>
          <w:ilvl w:val="0"/>
          <w:numId w:val="4"/>
        </w:numPr>
        <w:spacing w:after="240"/>
        <w:ind w:hanging="720"/>
        <w:contextualSpacing w:val="0"/>
        <w:jc w:val="both"/>
        <w:rPr>
          <w:rFonts w:cstheme="minorHAnsi"/>
          <w:b/>
        </w:rPr>
      </w:pPr>
      <w:r w:rsidRPr="0054621D">
        <w:rPr>
          <w:rFonts w:cstheme="minorHAnsi"/>
          <w:b/>
        </w:rPr>
        <w:t>Ausfallrisiko des Darlehensnehmers (Emittentenrisiko)</w:t>
      </w:r>
    </w:p>
    <w:p w14:paraId="4B4CCCB4" w14:textId="4BCB12C5" w:rsidR="00FC2895" w:rsidRPr="0054621D" w:rsidRDefault="00026D05" w:rsidP="00836813">
      <w:pPr>
        <w:spacing w:after="240"/>
        <w:jc w:val="both"/>
        <w:rPr>
          <w:rFonts w:cstheme="minorHAnsi"/>
        </w:rPr>
      </w:pPr>
      <w:r w:rsidRPr="0054621D">
        <w:rPr>
          <w:rFonts w:cstheme="minorHAnsi"/>
        </w:rPr>
        <w:t xml:space="preserve">Der </w:t>
      </w:r>
      <w:r w:rsidR="005520E8" w:rsidRPr="0054621D">
        <w:rPr>
          <w:rFonts w:cstheme="minorHAnsi"/>
        </w:rPr>
        <w:t>Darlehensnehmer</w:t>
      </w:r>
      <w:r w:rsidRPr="0054621D">
        <w:rPr>
          <w:rFonts w:cstheme="minorHAnsi"/>
        </w:rPr>
        <w:t xml:space="preserve"> kann zahlungsunfähig werden oder </w:t>
      </w:r>
      <w:r w:rsidR="00E40C89" w:rsidRPr="0054621D">
        <w:rPr>
          <w:rFonts w:cstheme="minorHAnsi"/>
        </w:rPr>
        <w:t>in</w:t>
      </w:r>
      <w:r w:rsidRPr="0054621D">
        <w:rPr>
          <w:rFonts w:cstheme="minorHAnsi"/>
        </w:rPr>
        <w:t xml:space="preserve"> Üb</w:t>
      </w:r>
      <w:r w:rsidR="005520E8" w:rsidRPr="0054621D">
        <w:rPr>
          <w:rFonts w:cstheme="minorHAnsi"/>
        </w:rPr>
        <w:t xml:space="preserve">erschuldung </w:t>
      </w:r>
      <w:r w:rsidR="00E40C89" w:rsidRPr="0054621D">
        <w:rPr>
          <w:rFonts w:cstheme="minorHAnsi"/>
        </w:rPr>
        <w:t>geraten</w:t>
      </w:r>
      <w:r w:rsidRPr="0054621D">
        <w:rPr>
          <w:rFonts w:cstheme="minorHAnsi"/>
        </w:rPr>
        <w:t>. Dies kann</w:t>
      </w:r>
      <w:r w:rsidR="008E64F2" w:rsidRPr="0054621D">
        <w:rPr>
          <w:rFonts w:cstheme="minorHAnsi"/>
        </w:rPr>
        <w:t xml:space="preserve"> insbesondere</w:t>
      </w:r>
      <w:r w:rsidRPr="0054621D">
        <w:rPr>
          <w:rFonts w:cstheme="minorHAnsi"/>
        </w:rPr>
        <w:t xml:space="preserve"> der Fall sein, wenn der </w:t>
      </w:r>
      <w:r w:rsidR="006B3EA0" w:rsidRPr="0054621D">
        <w:rPr>
          <w:rFonts w:cstheme="minorHAnsi"/>
        </w:rPr>
        <w:t>Darlehensnehmer</w:t>
      </w:r>
      <w:r w:rsidRPr="0054621D">
        <w:rPr>
          <w:rFonts w:cstheme="minorHAnsi"/>
        </w:rPr>
        <w:t xml:space="preserve"> geringere Einnahmen und/oder höhere Ausgaben als erwartet zu verzeichnen hat</w:t>
      </w:r>
      <w:r w:rsidR="005D5AEA" w:rsidRPr="0054621D">
        <w:rPr>
          <w:rFonts w:cstheme="minorHAnsi"/>
        </w:rPr>
        <w:t xml:space="preserve"> oder wenn er eine etwaig erforderliche Anschlussfinanzierung nicht einwerben kann</w:t>
      </w:r>
      <w:r w:rsidRPr="0054621D">
        <w:rPr>
          <w:rFonts w:cstheme="minorHAnsi"/>
        </w:rPr>
        <w:t xml:space="preserve">. Die Insolvenz des </w:t>
      </w:r>
      <w:r w:rsidR="006B3EA0" w:rsidRPr="0054621D">
        <w:rPr>
          <w:rFonts w:cstheme="minorHAnsi"/>
        </w:rPr>
        <w:t>Darlehensnehmers</w:t>
      </w:r>
      <w:r w:rsidRPr="0054621D">
        <w:rPr>
          <w:rFonts w:cstheme="minorHAnsi"/>
        </w:rPr>
        <w:t xml:space="preserve"> kann zum Verlust des Investments des </w:t>
      </w:r>
      <w:r w:rsidR="00CB5575" w:rsidRPr="0054621D">
        <w:rPr>
          <w:rFonts w:cstheme="minorHAnsi"/>
        </w:rPr>
        <w:t>Nachrangdarlehensgeber</w:t>
      </w:r>
      <w:r w:rsidRPr="0054621D">
        <w:rPr>
          <w:rFonts w:cstheme="minorHAnsi"/>
        </w:rPr>
        <w:t>s</w:t>
      </w:r>
      <w:r w:rsidR="005B0484" w:rsidRPr="0054621D">
        <w:rPr>
          <w:rFonts w:cstheme="minorHAnsi"/>
        </w:rPr>
        <w:t xml:space="preserve"> und der Zinsen</w:t>
      </w:r>
      <w:r w:rsidRPr="0054621D">
        <w:rPr>
          <w:rFonts w:cstheme="minorHAnsi"/>
        </w:rPr>
        <w:t xml:space="preserve"> führen, da der </w:t>
      </w:r>
      <w:r w:rsidR="0021231F" w:rsidRPr="0054621D">
        <w:rPr>
          <w:rFonts w:cstheme="minorHAnsi"/>
        </w:rPr>
        <w:t>Darlehensnehmer</w:t>
      </w:r>
      <w:r w:rsidRPr="0054621D">
        <w:rPr>
          <w:rFonts w:cstheme="minorHAnsi"/>
        </w:rPr>
        <w:t xml:space="preserve"> keinem Einlagensicherungssystem angehört.</w:t>
      </w:r>
    </w:p>
    <w:p w14:paraId="165D04FF" w14:textId="3B47A5E7" w:rsidR="009C0000" w:rsidRPr="0054621D" w:rsidRDefault="009C0000" w:rsidP="00474DB2">
      <w:pPr>
        <w:pStyle w:val="ListParagraph"/>
        <w:keepNext/>
        <w:numPr>
          <w:ilvl w:val="0"/>
          <w:numId w:val="4"/>
        </w:numPr>
        <w:spacing w:after="240"/>
        <w:ind w:hanging="720"/>
        <w:contextualSpacing w:val="0"/>
        <w:jc w:val="both"/>
        <w:rPr>
          <w:rFonts w:cstheme="minorHAnsi"/>
          <w:b/>
        </w:rPr>
      </w:pPr>
      <w:r w:rsidRPr="0054621D">
        <w:rPr>
          <w:rFonts w:cstheme="minorHAnsi"/>
          <w:b/>
        </w:rPr>
        <w:t>Risiken</w:t>
      </w:r>
      <w:r w:rsidR="00E9237A" w:rsidRPr="0054621D">
        <w:rPr>
          <w:rFonts w:cstheme="minorHAnsi"/>
          <w:b/>
        </w:rPr>
        <w:t xml:space="preserve"> aus der </w:t>
      </w:r>
      <w:r w:rsidR="001F2487" w:rsidRPr="0054621D">
        <w:rPr>
          <w:rFonts w:cstheme="minorHAnsi"/>
          <w:b/>
        </w:rPr>
        <w:t>Weiterleitung des Darlehensbetrags zur Durchführung des finanzierten Projekts</w:t>
      </w:r>
    </w:p>
    <w:p w14:paraId="30853346" w14:textId="1BA4127A" w:rsidR="001F2487" w:rsidRPr="0054621D" w:rsidRDefault="001F2487" w:rsidP="00A72CAD">
      <w:pPr>
        <w:spacing w:after="240"/>
        <w:jc w:val="both"/>
        <w:rPr>
          <w:rFonts w:cstheme="minorHAnsi"/>
        </w:rPr>
      </w:pPr>
      <w:r w:rsidRPr="0054621D">
        <w:rPr>
          <w:rFonts w:cstheme="minorHAnsi"/>
        </w:rPr>
        <w:t xml:space="preserve">Der Darlehensnehmer wird den gesamten Darlehensbetrag in Form eines weiteren Darlehens an einen Projektinhaber weiterleiten. Der Darlehensnehmer ist für die fristgerechte und vollständige Leistung von Zins und Tilgung an die </w:t>
      </w:r>
      <w:r w:rsidR="00CB5575" w:rsidRPr="0054621D">
        <w:rPr>
          <w:rFonts w:cstheme="minorHAnsi"/>
        </w:rPr>
        <w:t>Nachrangdarlehensgeber</w:t>
      </w:r>
      <w:r w:rsidRPr="0054621D">
        <w:rPr>
          <w:rFonts w:cstheme="minorHAnsi"/>
        </w:rPr>
        <w:t xml:space="preserve"> darauf angewiesen, dass der Projektinhaber seinen Verpflichtungen aus diesem weiteren Darlehensvertrag fristgerecht und vollständig nachkommt. Ist dies nicht der Fall, können auf Ebene des Darlehensnehmers Zahlungsschwierigkeiten bis hin zu einer möglichen Insolvenz entstehen.</w:t>
      </w:r>
      <w:r w:rsidR="002639C2" w:rsidRPr="0054621D">
        <w:rPr>
          <w:rFonts w:cstheme="minorHAnsi"/>
        </w:rPr>
        <w:t xml:space="preserve"> </w:t>
      </w:r>
      <w:r w:rsidR="005D5AEA" w:rsidRPr="0054621D">
        <w:rPr>
          <w:rFonts w:cstheme="minorHAnsi"/>
        </w:rPr>
        <w:t xml:space="preserve"> </w:t>
      </w:r>
    </w:p>
    <w:p w14:paraId="010CC77F" w14:textId="27ED4D3B" w:rsidR="001F2487" w:rsidRPr="0054621D" w:rsidRDefault="001F2487" w:rsidP="00445B4C">
      <w:pPr>
        <w:spacing w:after="240"/>
        <w:jc w:val="both"/>
        <w:rPr>
          <w:rFonts w:cstheme="minorHAnsi"/>
        </w:rPr>
      </w:pPr>
      <w:r w:rsidRPr="0054621D">
        <w:rPr>
          <w:rFonts w:cstheme="minorHAnsi"/>
        </w:rPr>
        <w:t xml:space="preserve">Der finanzierte Projektinhaber wird seinen Verpflichtungen gegenüber dem Darlehensnehmer insbesondere dann voraussichtlich nicht nachkommen können, wenn das geplante </w:t>
      </w:r>
      <w:r w:rsidR="005D5AEA" w:rsidRPr="0054621D">
        <w:rPr>
          <w:rFonts w:cstheme="minorHAnsi"/>
        </w:rPr>
        <w:t>Solarprojekt</w:t>
      </w:r>
      <w:r w:rsidRPr="0054621D">
        <w:rPr>
          <w:rFonts w:cstheme="minorHAnsi"/>
        </w:rPr>
        <w:t xml:space="preserve">, das durch das Darlehen finanziert werden soll, nicht wie erhofft erfolgreich durchgeführt werden kann. </w:t>
      </w:r>
      <w:r w:rsidR="005D5AEA" w:rsidRPr="0054621D">
        <w:rPr>
          <w:rFonts w:cstheme="minorHAnsi"/>
        </w:rPr>
        <w:t>Unter anderem besteht das Risiko, dass die Solaranlage bestimmte Solarerträge nicht erreicht. Falls diese Solarerträge nicht erreicht werden, würde sich die Höhe der Erträge des Projektinhabers aus dem Vertrag mit dem Endkunden verringern, was sich negativ auf dessen Fähigkeit auswirken könnte, seinen vertraglichen Verpflichtungen gegenüber dem Darlehensnehmer nachzukommen.</w:t>
      </w:r>
      <w:r w:rsidR="0032758D" w:rsidRPr="0054621D">
        <w:rPr>
          <w:rFonts w:cstheme="minorHAnsi"/>
        </w:rPr>
        <w:t xml:space="preserve"> </w:t>
      </w:r>
      <w:r w:rsidR="005D5AEA" w:rsidRPr="0054621D">
        <w:rPr>
          <w:rFonts w:cstheme="minorHAnsi"/>
        </w:rPr>
        <w:t>Weiterhin besteht das Risiko, dass der Projektinhaber am Ende der Festlaufzeit des Nachrangdarlehensvertrags die dann fällige Rest-Tilgungskomponente (in Höhe von 85,00% der Darlehensvaluta) nicht, nicht rechtzeitig oder nicht in voller Höhe an den Darlehensnehmer leisten kann, falls dem Projektinhaber zu diesem Zeitpunkt keine ausreichenden Mittel zur Verfügung stehen und auch nicht zufließen (etwa aufgrund einer Refinanzierung oder einer Ausübung der auf die Solaranlage bezogenen Kaufoption gemäß Leasing-Vertrag durch den Endkunden).</w:t>
      </w:r>
    </w:p>
    <w:p w14:paraId="482EEEEB" w14:textId="56A47CE9" w:rsidR="001B2CFF" w:rsidRPr="0054621D" w:rsidRDefault="001B2CFF" w:rsidP="001B2CFF">
      <w:pPr>
        <w:spacing w:after="240"/>
        <w:jc w:val="both"/>
        <w:rPr>
          <w:rFonts w:cstheme="minorHAnsi"/>
        </w:rPr>
      </w:pPr>
      <w:bookmarkStart w:id="0" w:name="_Ref478294417"/>
      <w:r w:rsidRPr="0054621D">
        <w:rPr>
          <w:rFonts w:cstheme="minorHAnsi"/>
        </w:rPr>
        <w:t xml:space="preserve">Darüber hinaus können zusätzliche Risiken aus der Tatsache entstehen, dass die Darlehensvaluta weitergeleitet wird. So könnte der Projektinhaber es verweigern, seinen Zahlungspflichten </w:t>
      </w:r>
      <w:r w:rsidR="005D5AEA" w:rsidRPr="0054621D">
        <w:rPr>
          <w:rFonts w:cstheme="minorHAnsi"/>
        </w:rPr>
        <w:t xml:space="preserve"> </w:t>
      </w:r>
      <w:r w:rsidRPr="0054621D">
        <w:rPr>
          <w:rFonts w:cstheme="minorHAnsi"/>
        </w:rPr>
        <w:t xml:space="preserve">gegenüber dem Darlehensnehmer nachzukommen. Der Darlehensnehmer könnte dadurch auf eine gerichtliche Durchsetzung seiner Forderungen angewiesen sein. Der Erfolg einer solchen gerichtlichen Auseinandersetzung </w:t>
      </w:r>
      <w:r w:rsidR="005D5AEA" w:rsidRPr="0054621D">
        <w:rPr>
          <w:rFonts w:cstheme="minorHAnsi"/>
        </w:rPr>
        <w:t>wäre nicht sicher.</w:t>
      </w:r>
      <w:r w:rsidRPr="0054621D">
        <w:rPr>
          <w:rFonts w:cstheme="minorHAnsi"/>
        </w:rPr>
        <w:t xml:space="preserve"> </w:t>
      </w:r>
    </w:p>
    <w:p w14:paraId="382E2138" w14:textId="77777777" w:rsidR="00C71F72" w:rsidRPr="0054621D" w:rsidRDefault="00C71F72" w:rsidP="00C71F72">
      <w:pPr>
        <w:numPr>
          <w:ilvl w:val="0"/>
          <w:numId w:val="4"/>
        </w:numPr>
        <w:spacing w:after="240"/>
        <w:ind w:hanging="720"/>
        <w:jc w:val="both"/>
        <w:rPr>
          <w:rFonts w:cstheme="minorHAnsi"/>
          <w:b/>
        </w:rPr>
      </w:pPr>
      <w:r w:rsidRPr="0054621D">
        <w:rPr>
          <w:rFonts w:cstheme="minorHAnsi"/>
          <w:b/>
        </w:rPr>
        <w:t>Risiken aus der Finanzierung weiterer Projekte</w:t>
      </w:r>
      <w:bookmarkEnd w:id="0"/>
    </w:p>
    <w:p w14:paraId="5CBD3BDB" w14:textId="78A2872C" w:rsidR="00C71F72" w:rsidRPr="0054621D" w:rsidRDefault="00C71F72" w:rsidP="00C71F72">
      <w:pPr>
        <w:spacing w:after="240"/>
        <w:jc w:val="both"/>
        <w:rPr>
          <w:rFonts w:cstheme="minorHAnsi"/>
          <w:bCs/>
        </w:rPr>
      </w:pPr>
      <w:r w:rsidRPr="0054621D">
        <w:rPr>
          <w:rFonts w:cstheme="minorHAnsi"/>
        </w:rPr>
        <w:t xml:space="preserve">Der Darlehensnehmer plant, </w:t>
      </w:r>
      <w:r w:rsidRPr="0054621D">
        <w:rPr>
          <w:rFonts w:cstheme="minorHAnsi"/>
          <w:bCs/>
        </w:rPr>
        <w:t xml:space="preserve">mehrere Schwarmfinanzierungen (Crowdfundings) durchzuführen und die jeweilige Gesamt-Darlehensvaluta aus diesen verschiedenen Schwarmfinanzierungen zur Durchführung verschiedener Projekte an denselben Projektinhaber weiterzuleiten. Dies soll durch </w:t>
      </w:r>
      <w:r w:rsidRPr="0054621D">
        <w:rPr>
          <w:rFonts w:cstheme="minorHAnsi"/>
          <w:bCs/>
        </w:rPr>
        <w:lastRenderedPageBreak/>
        <w:t xml:space="preserve">mehrere rechtlich selbstständige, projektbezogene Darlehensverträge geschehen, die zwischen dem Darlehensnehmer und dem Projektinhaber geschlossen werden. </w:t>
      </w:r>
      <w:r w:rsidR="00BE7B60" w:rsidRPr="0054621D">
        <w:rPr>
          <w:rFonts w:cstheme="minorHAnsi"/>
          <w:bCs/>
        </w:rPr>
        <w:t>Je nach Zeitpunkt des Crowdfundings, hat der Darlehensnehmer bereits in der Vergangenheit solche weiteren Projekte durchgeführt.</w:t>
      </w:r>
    </w:p>
    <w:p w14:paraId="33E7CBBC" w14:textId="67686E73" w:rsidR="00C71F72" w:rsidRPr="0054621D" w:rsidRDefault="00C71F72" w:rsidP="001F2487">
      <w:pPr>
        <w:spacing w:after="240"/>
        <w:jc w:val="both"/>
        <w:rPr>
          <w:rFonts w:cstheme="minorHAnsi"/>
        </w:rPr>
      </w:pPr>
      <w:r w:rsidRPr="0054621D">
        <w:rPr>
          <w:rFonts w:cstheme="minorHAnsi"/>
          <w:bCs/>
        </w:rPr>
        <w:t xml:space="preserve">Hierdurch besteht für den </w:t>
      </w:r>
      <w:r w:rsidR="00CB5575" w:rsidRPr="0054621D">
        <w:rPr>
          <w:rFonts w:cstheme="minorHAnsi"/>
          <w:bCs/>
        </w:rPr>
        <w:t>Nachrangdarlehensgeber</w:t>
      </w:r>
      <w:r w:rsidRPr="0054621D">
        <w:rPr>
          <w:rFonts w:cstheme="minorHAnsi"/>
          <w:bCs/>
        </w:rPr>
        <w:t xml:space="preserve"> (Investor) das Risiko, dass andere Projekte, in die er selbst nicht investiert hat, sich nachteilig auf sein eigenes Investment auswirken. Dies kann etwa der Fall sein, wenn ein anderes Projekt des Projektinhabers, in das der</w:t>
      </w:r>
      <w:r w:rsidRPr="0054621D">
        <w:rPr>
          <w:rFonts w:cstheme="minorHAnsi"/>
        </w:rPr>
        <w:t xml:space="preserve"> </w:t>
      </w:r>
      <w:r w:rsidR="00CB5575" w:rsidRPr="0054621D">
        <w:rPr>
          <w:rFonts w:cstheme="minorHAnsi"/>
        </w:rPr>
        <w:t>Nachrangdarlehensgeber</w:t>
      </w:r>
      <w:r w:rsidRPr="0054621D">
        <w:rPr>
          <w:rFonts w:cstheme="minorHAnsi"/>
        </w:rPr>
        <w:t xml:space="preserve"> nicht investiert hat, wirtschaftlich fehlschlägt. Dies könnte zur Folge haben, dass der Projektinhaber seine fälligen Verbindlichkeiten gegenüber dem Darlehensnehmer</w:t>
      </w:r>
      <w:r w:rsidRPr="0054621D">
        <w:rPr>
          <w:rFonts w:cstheme="minorHAnsi"/>
          <w:b/>
        </w:rPr>
        <w:t xml:space="preserve"> </w:t>
      </w:r>
      <w:r w:rsidRPr="0054621D">
        <w:rPr>
          <w:rFonts w:cstheme="minorHAnsi"/>
        </w:rPr>
        <w:t>nicht bedienen kann. Infolgedessen könnte der Darlehensnehmer</w:t>
      </w:r>
      <w:r w:rsidRPr="0054621D">
        <w:rPr>
          <w:rFonts w:cstheme="minorHAnsi"/>
          <w:b/>
        </w:rPr>
        <w:t xml:space="preserve"> </w:t>
      </w:r>
      <w:r w:rsidRPr="0054621D">
        <w:rPr>
          <w:rFonts w:cstheme="minorHAnsi"/>
        </w:rPr>
        <w:t>außerstande sein,</w:t>
      </w:r>
      <w:r w:rsidRPr="0054621D">
        <w:rPr>
          <w:rFonts w:cstheme="minorHAnsi"/>
          <w:b/>
        </w:rPr>
        <w:t xml:space="preserve"> </w:t>
      </w:r>
      <w:r w:rsidRPr="0054621D">
        <w:rPr>
          <w:rFonts w:cstheme="minorHAnsi"/>
        </w:rPr>
        <w:t xml:space="preserve">seine fälligen Verbindlichkeiten gegenüber dem </w:t>
      </w:r>
      <w:r w:rsidR="00CB5575" w:rsidRPr="0054621D">
        <w:rPr>
          <w:rFonts w:cstheme="minorHAnsi"/>
        </w:rPr>
        <w:t>Nachrangdarlehensgeber</w:t>
      </w:r>
      <w:r w:rsidRPr="0054621D">
        <w:rPr>
          <w:rFonts w:cstheme="minorHAnsi"/>
        </w:rPr>
        <w:t xml:space="preserve"> zu bedienen. </w:t>
      </w:r>
    </w:p>
    <w:p w14:paraId="007D8D0E" w14:textId="4F6A54E8" w:rsidR="001F2487" w:rsidRPr="0054621D" w:rsidRDefault="001F2487" w:rsidP="001F2487">
      <w:pPr>
        <w:pStyle w:val="ListParagraph"/>
        <w:keepNext/>
        <w:numPr>
          <w:ilvl w:val="0"/>
          <w:numId w:val="4"/>
        </w:numPr>
        <w:spacing w:after="240"/>
        <w:ind w:hanging="720"/>
        <w:contextualSpacing w:val="0"/>
        <w:jc w:val="both"/>
        <w:rPr>
          <w:rFonts w:cstheme="minorHAnsi"/>
          <w:b/>
        </w:rPr>
      </w:pPr>
      <w:r w:rsidRPr="0054621D">
        <w:rPr>
          <w:rFonts w:cstheme="minorHAnsi"/>
          <w:b/>
        </w:rPr>
        <w:t>Risiken aus der Geschäftstätigkeit des Projektinhabers sowie der Durchführung des finanzierten Projekts</w:t>
      </w:r>
    </w:p>
    <w:p w14:paraId="4B0BF219" w14:textId="5A37B035" w:rsidR="00016ED9" w:rsidRPr="0054621D" w:rsidRDefault="00FF2969" w:rsidP="00C90506">
      <w:pPr>
        <w:spacing w:after="240"/>
        <w:jc w:val="both"/>
        <w:rPr>
          <w:rFonts w:cstheme="minorHAnsi"/>
        </w:rPr>
      </w:pPr>
      <w:r w:rsidRPr="0054621D">
        <w:rPr>
          <w:rFonts w:cstheme="minorHAnsi"/>
        </w:rPr>
        <w:t xml:space="preserve">Verschiedene Risikofaktoren können die Fähigkeit des </w:t>
      </w:r>
      <w:r w:rsidR="001F2487" w:rsidRPr="0054621D">
        <w:rPr>
          <w:rFonts w:cstheme="minorHAnsi"/>
        </w:rPr>
        <w:t xml:space="preserve">Darlehensnehmers und </w:t>
      </w:r>
      <w:r w:rsidR="00122C85" w:rsidRPr="0054621D">
        <w:rPr>
          <w:rFonts w:cstheme="minorHAnsi"/>
        </w:rPr>
        <w:t>des Projektinhabers</w:t>
      </w:r>
      <w:r w:rsidRPr="0054621D">
        <w:rPr>
          <w:rFonts w:cstheme="minorHAnsi"/>
        </w:rPr>
        <w:t xml:space="preserve"> beeinträchtigen, </w:t>
      </w:r>
      <w:r w:rsidR="001F2487" w:rsidRPr="0054621D">
        <w:rPr>
          <w:rFonts w:cstheme="minorHAnsi"/>
        </w:rPr>
        <w:t>ihren jeweiligen vertraglichen</w:t>
      </w:r>
      <w:r w:rsidRPr="0054621D">
        <w:rPr>
          <w:rFonts w:cstheme="minorHAnsi"/>
        </w:rPr>
        <w:t xml:space="preserve"> Verpflichtungen nachzukommen. </w:t>
      </w:r>
      <w:r w:rsidR="00016ED9" w:rsidRPr="0054621D">
        <w:rPr>
          <w:rFonts w:cstheme="minorHAnsi"/>
        </w:rPr>
        <w:t xml:space="preserve">Dies sind </w:t>
      </w:r>
      <w:r w:rsidR="001F2487" w:rsidRPr="0054621D">
        <w:rPr>
          <w:rFonts w:cstheme="minorHAnsi"/>
        </w:rPr>
        <w:t>insbesondere</w:t>
      </w:r>
      <w:r w:rsidR="00016ED9" w:rsidRPr="0054621D">
        <w:rPr>
          <w:rFonts w:cstheme="minorHAnsi"/>
        </w:rPr>
        <w:t xml:space="preserve"> Risiken aus der </w:t>
      </w:r>
      <w:r w:rsidR="004E0CDC" w:rsidRPr="0054621D">
        <w:rPr>
          <w:rFonts w:cstheme="minorHAnsi"/>
        </w:rPr>
        <w:t>Durchführung des finanzierten Projekts</w:t>
      </w:r>
      <w:r w:rsidR="00016ED9" w:rsidRPr="0054621D">
        <w:rPr>
          <w:rFonts w:cstheme="minorHAnsi"/>
        </w:rPr>
        <w:t xml:space="preserve">. </w:t>
      </w:r>
      <w:r w:rsidR="002B7C1F" w:rsidRPr="0054621D">
        <w:rPr>
          <w:rFonts w:cstheme="minorHAnsi"/>
        </w:rPr>
        <w:t xml:space="preserve">Das geplante </w:t>
      </w:r>
      <w:r w:rsidR="005D5AEA" w:rsidRPr="0054621D">
        <w:rPr>
          <w:rFonts w:cstheme="minorHAnsi"/>
        </w:rPr>
        <w:t>Solarprojekt</w:t>
      </w:r>
      <w:r w:rsidR="003B0C66" w:rsidRPr="0054621D">
        <w:rPr>
          <w:rFonts w:cstheme="minorHAnsi"/>
        </w:rPr>
        <w:t xml:space="preserve"> </w:t>
      </w:r>
      <w:r w:rsidR="00016ED9" w:rsidRPr="0054621D">
        <w:rPr>
          <w:rFonts w:cstheme="minorHAnsi"/>
        </w:rPr>
        <w:t xml:space="preserve">könnte komplexer sein als erwartet. Es könnten unerwartete und/oder höhere </w:t>
      </w:r>
      <w:r w:rsidR="00A6195D" w:rsidRPr="0054621D">
        <w:rPr>
          <w:rFonts w:cstheme="minorHAnsi"/>
        </w:rPr>
        <w:t>Umsetzungsr</w:t>
      </w:r>
      <w:r w:rsidR="00016ED9" w:rsidRPr="0054621D">
        <w:rPr>
          <w:rFonts w:cstheme="minorHAnsi"/>
        </w:rPr>
        <w:t xml:space="preserve">isiken auftreten und/oder Geschäftsprozesse mit mehr Aufwand und Kosten verbunden sein als erwartet. Es könnten Planungsfehler zutage treten oder Vertragspartner des </w:t>
      </w:r>
      <w:r w:rsidR="00422BCD" w:rsidRPr="0054621D">
        <w:rPr>
          <w:rFonts w:cstheme="minorHAnsi"/>
        </w:rPr>
        <w:t>Projektinhabers</w:t>
      </w:r>
      <w:r w:rsidR="00016ED9" w:rsidRPr="0054621D">
        <w:rPr>
          <w:rFonts w:cstheme="minorHAnsi"/>
        </w:rPr>
        <w:t xml:space="preserve"> mangelhafte Leistungen erbringen. </w:t>
      </w:r>
      <w:r w:rsidR="00422BCD" w:rsidRPr="0054621D">
        <w:rPr>
          <w:rFonts w:cstheme="minorHAnsi"/>
        </w:rPr>
        <w:t xml:space="preserve">Es könnte sich herausstellen, dass Annahmen, auf denen die Projektplanung basiert, fehlerhaft sind. </w:t>
      </w:r>
      <w:r w:rsidR="00016ED9" w:rsidRPr="0054621D">
        <w:rPr>
          <w:rFonts w:cstheme="minorHAnsi"/>
        </w:rPr>
        <w:t xml:space="preserve">Erforderliche Genehmigungen könnten nicht erteilt werden. </w:t>
      </w:r>
      <w:r w:rsidR="00ED14CF" w:rsidRPr="0054621D">
        <w:rPr>
          <w:rFonts w:cstheme="minorHAnsi"/>
        </w:rPr>
        <w:t xml:space="preserve">Es könnten unbekannte Umweltrisiken oder Altlasten bestehen. </w:t>
      </w:r>
      <w:r w:rsidR="00016ED9" w:rsidRPr="0054621D">
        <w:rPr>
          <w:rFonts w:cstheme="minorHAnsi"/>
        </w:rPr>
        <w:t>Es könnte zu Ver</w:t>
      </w:r>
      <w:r w:rsidR="00236DB2" w:rsidRPr="0054621D">
        <w:rPr>
          <w:rFonts w:cstheme="minorHAnsi"/>
        </w:rPr>
        <w:t xml:space="preserve">zögerungen im geplanten </w:t>
      </w:r>
      <w:r w:rsidR="00790858" w:rsidRPr="0054621D">
        <w:rPr>
          <w:rFonts w:cstheme="minorHAnsi"/>
        </w:rPr>
        <w:t>Projekta</w:t>
      </w:r>
      <w:r w:rsidR="00016ED9" w:rsidRPr="0054621D">
        <w:rPr>
          <w:rFonts w:cstheme="minorHAnsi"/>
        </w:rPr>
        <w:t xml:space="preserve">blauf und/oder zu Problemen bei der Erzielung von Einnahmen bzw. Einsparungen in der geplanten Höhe oder zum geplanten Zeitpunkt kommen. </w:t>
      </w:r>
      <w:r w:rsidR="0013297C" w:rsidRPr="0054621D">
        <w:rPr>
          <w:rFonts w:cstheme="minorHAnsi"/>
        </w:rPr>
        <w:t xml:space="preserve">Ein etwaiger Versicherungsschutz könnte sich als nicht ausreichend erweisen. </w:t>
      </w:r>
      <w:r w:rsidR="00016ED9" w:rsidRPr="0054621D">
        <w:rPr>
          <w:rFonts w:cstheme="minorHAnsi"/>
        </w:rPr>
        <w:t xml:space="preserve">Die rechtlichen Anforderungen könnten sich verändern und dadurch könnten Änderungen oder zusätzliche Maßnahmen im Zusammenhang mit </w:t>
      </w:r>
      <w:r w:rsidR="00802014" w:rsidRPr="0054621D">
        <w:rPr>
          <w:rFonts w:cstheme="minorHAnsi"/>
        </w:rPr>
        <w:t xml:space="preserve">dem Projekt </w:t>
      </w:r>
      <w:r w:rsidR="00016ED9" w:rsidRPr="0054621D">
        <w:rPr>
          <w:rFonts w:cstheme="minorHAnsi"/>
        </w:rPr>
        <w:t>erforderlich werden, was zu Mehrkosten und/oder zeitlich</w:t>
      </w:r>
      <w:r w:rsidR="00880F8A" w:rsidRPr="0054621D">
        <w:rPr>
          <w:rFonts w:cstheme="minorHAnsi"/>
        </w:rPr>
        <w:t>en Verzögerungen füh</w:t>
      </w:r>
      <w:r w:rsidR="00B355BD" w:rsidRPr="0054621D">
        <w:rPr>
          <w:rFonts w:cstheme="minorHAnsi"/>
        </w:rPr>
        <w:t>ren könnte.</w:t>
      </w:r>
      <w:r w:rsidR="006F05B7" w:rsidRPr="0054621D">
        <w:rPr>
          <w:rFonts w:cstheme="minorHAnsi"/>
        </w:rPr>
        <w:t xml:space="preserve"> Bei Leistungen, die Dritten gegenüber erbracht werden, könnten diese Gewährleistungsansprüche geltend machen, ohne dass der</w:t>
      </w:r>
      <w:r w:rsidR="00422BCD" w:rsidRPr="0054621D">
        <w:rPr>
          <w:rFonts w:cstheme="minorHAnsi"/>
        </w:rPr>
        <w:t xml:space="preserve"> Projektinhaber Regressansprüche gegen eigene Zulieferer durchsetzen kann. Auch weitere Faktoren können sich nachteilig auf den Projekterfolg auswirken, wie etwa die Entwicklung des Strompreises oder des Preises anderer Energieträger, des Marktumfelds, der Nachfrage- und Absatzsituation, von Lieferantenbeziehungen, des politischen Umfelds und politischer Verhältnisse, von Umweltrisiken, Länder- und Wechselkursrisiken sowie Wettbewerbern</w:t>
      </w:r>
      <w:r w:rsidR="006F05B7" w:rsidRPr="0054621D">
        <w:rPr>
          <w:rFonts w:cstheme="minorHAnsi"/>
        </w:rPr>
        <w:t>.</w:t>
      </w:r>
    </w:p>
    <w:p w14:paraId="46120F2C" w14:textId="77777777" w:rsidR="00F22364" w:rsidRPr="0054621D" w:rsidRDefault="00F22364" w:rsidP="00F22364">
      <w:pPr>
        <w:spacing w:after="240"/>
        <w:jc w:val="both"/>
        <w:rPr>
          <w:rFonts w:cstheme="minorHAnsi"/>
        </w:rPr>
      </w:pPr>
      <w:r w:rsidRPr="0054621D">
        <w:rPr>
          <w:rFonts w:cstheme="minorHAnsi"/>
        </w:rPr>
        <w:t xml:space="preserve">Die Umsätze, die der Projektinhaber aus dem finanzierten Projekt erzielen kann, werden maßgeblich von der Zahlungsfähigkeit eines einzelnen Endabnehmers (Kunden) des Projektinhabers abhängen. Sollte dieser in Zahlungsverzug geraten oder zahlungsunfähig werden, können die Fähigkeit des Projektinhabers und des Darlehensnehmers, ihren jeweiligen vertraglichen Verpflichtungen nachzukommen, beeinträchtigt werden. </w:t>
      </w:r>
    </w:p>
    <w:p w14:paraId="183BBD59" w14:textId="4DE288E9" w:rsidR="00F72CAE" w:rsidRPr="0054621D" w:rsidRDefault="001F2487" w:rsidP="00474DB2">
      <w:pPr>
        <w:spacing w:after="240"/>
        <w:jc w:val="both"/>
        <w:rPr>
          <w:rFonts w:cstheme="minorHAnsi"/>
        </w:rPr>
      </w:pPr>
      <w:r w:rsidRPr="0054621D">
        <w:rPr>
          <w:rFonts w:cstheme="minorHAnsi"/>
        </w:rPr>
        <w:t>Daneben</w:t>
      </w:r>
      <w:r w:rsidR="00016ED9" w:rsidRPr="0054621D">
        <w:rPr>
          <w:rFonts w:cstheme="minorHAnsi"/>
        </w:rPr>
        <w:t xml:space="preserve"> ist die </w:t>
      </w:r>
      <w:r w:rsidR="00687F79" w:rsidRPr="0054621D">
        <w:rPr>
          <w:rFonts w:cstheme="minorHAnsi"/>
        </w:rPr>
        <w:t>a</w:t>
      </w:r>
      <w:r w:rsidR="00016ED9" w:rsidRPr="0054621D">
        <w:rPr>
          <w:rFonts w:cstheme="minorHAnsi"/>
        </w:rPr>
        <w:t>llgemeine</w:t>
      </w:r>
      <w:r w:rsidR="00687F79" w:rsidRPr="0054621D">
        <w:rPr>
          <w:rFonts w:cstheme="minorHAnsi"/>
        </w:rPr>
        <w:t xml:space="preserve"> Geschäftstätigkeit des </w:t>
      </w:r>
      <w:r w:rsidRPr="0054621D">
        <w:rPr>
          <w:rFonts w:cstheme="minorHAnsi"/>
        </w:rPr>
        <w:t>Projektinhabers</w:t>
      </w:r>
      <w:r w:rsidR="00016ED9" w:rsidRPr="0054621D">
        <w:rPr>
          <w:rFonts w:cstheme="minorHAnsi"/>
        </w:rPr>
        <w:t xml:space="preserve"> mit Risiken verbunden,</w:t>
      </w:r>
      <w:r w:rsidR="00687F79" w:rsidRPr="0054621D">
        <w:rPr>
          <w:rFonts w:cstheme="minorHAnsi"/>
        </w:rPr>
        <w:t xml:space="preserve"> wie </w:t>
      </w:r>
      <w:r w:rsidR="00F72CAE" w:rsidRPr="0054621D">
        <w:rPr>
          <w:rFonts w:cstheme="minorHAnsi"/>
        </w:rPr>
        <w:t xml:space="preserve">marktbezogene Risiken (z. B. Nachfrage- und Absatzrückgang; </w:t>
      </w:r>
      <w:r w:rsidR="00C27104" w:rsidRPr="0054621D">
        <w:rPr>
          <w:rFonts w:cstheme="minorHAnsi"/>
        </w:rPr>
        <w:t xml:space="preserve">Zahlungsschwierigkeiten oder </w:t>
      </w:r>
      <w:r w:rsidR="00B27031" w:rsidRPr="0054621D">
        <w:rPr>
          <w:rFonts w:cstheme="minorHAnsi"/>
        </w:rPr>
        <w:t>Insolvenzen von Kunden</w:t>
      </w:r>
      <w:r w:rsidR="00F72CAE" w:rsidRPr="0054621D">
        <w:rPr>
          <w:rFonts w:cstheme="minorHAnsi"/>
        </w:rPr>
        <w:t>; Kostenerhöhungen und Kapazitätsengpässe auf Beschaffungsseite; politische Veränderungen;</w:t>
      </w:r>
      <w:r w:rsidR="00CA0B71" w:rsidRPr="0054621D">
        <w:rPr>
          <w:rFonts w:cstheme="minorHAnsi"/>
        </w:rPr>
        <w:t xml:space="preserve"> </w:t>
      </w:r>
      <w:r w:rsidR="00F72CAE" w:rsidRPr="0054621D">
        <w:rPr>
          <w:rFonts w:cstheme="minorHAnsi"/>
        </w:rPr>
        <w:t xml:space="preserve">Zins- und Inflationsentwicklungen; Länder- und Wechselkursrisiken; Veränderungen der rechtlichen und steuerlichen Rahmenbedingungen der Tätigkeit des Darlehensnehmers) und </w:t>
      </w:r>
      <w:r w:rsidR="00F72CAE" w:rsidRPr="0054621D">
        <w:rPr>
          <w:rFonts w:cstheme="minorHAnsi"/>
        </w:rPr>
        <w:lastRenderedPageBreak/>
        <w:t>unternehmensbezogene Risiken (z. B. Qualitätsrisiken; Produktmängel; Finanzierungs- und Zinsänderungsrisiken; Risiken aus Marken und Schutzrechten; Abhän</w:t>
      </w:r>
      <w:r w:rsidR="00AB3351" w:rsidRPr="0054621D">
        <w:rPr>
          <w:rFonts w:cstheme="minorHAnsi"/>
        </w:rPr>
        <w:t xml:space="preserve">gigkeit von Partnerunternehmen </w:t>
      </w:r>
      <w:r w:rsidR="00F72CAE" w:rsidRPr="0054621D">
        <w:rPr>
          <w:rFonts w:cstheme="minorHAnsi"/>
        </w:rPr>
        <w:t>und qualifiziertem Personal; Risiken aus Rechtsstreitigkeiten, unzureichendem Versicherungsschutz, aus der Gesellschafter- und/oder Konzernstruktur, aus der internen Organisation, aus Vermögensbewertungen und Steuernachforderungen).</w:t>
      </w:r>
    </w:p>
    <w:p w14:paraId="3466D74A" w14:textId="49A0AFD8" w:rsidR="002F4299" w:rsidRPr="0054621D" w:rsidRDefault="002F4299" w:rsidP="00474DB2">
      <w:pPr>
        <w:spacing w:after="240"/>
        <w:jc w:val="both"/>
        <w:rPr>
          <w:rFonts w:cstheme="minorHAnsi"/>
        </w:rPr>
      </w:pPr>
      <w:r w:rsidRPr="0054621D">
        <w:rPr>
          <w:rFonts w:cstheme="minorHAnsi"/>
        </w:rPr>
        <w:t xml:space="preserve">Diese und/oder weitere Risiken könnten sich negativ auf die Vermögens-, Finanz- und Ertragslage des </w:t>
      </w:r>
      <w:r w:rsidR="00AB3C3F" w:rsidRPr="0054621D">
        <w:rPr>
          <w:rFonts w:cstheme="minorHAnsi"/>
        </w:rPr>
        <w:t>Projektinhaber und/oder des Darlehensnehmers</w:t>
      </w:r>
      <w:r w:rsidRPr="0054621D">
        <w:rPr>
          <w:rFonts w:cstheme="minorHAnsi"/>
        </w:rPr>
        <w:t xml:space="preserve"> auswirken. Dem </w:t>
      </w:r>
      <w:r w:rsidR="00AB3C3F" w:rsidRPr="0054621D">
        <w:rPr>
          <w:rFonts w:cstheme="minorHAnsi"/>
        </w:rPr>
        <w:t xml:space="preserve">Projektinhaber und dem </w:t>
      </w:r>
      <w:r w:rsidRPr="0054621D">
        <w:rPr>
          <w:rFonts w:cstheme="minorHAnsi"/>
        </w:rPr>
        <w:t>Darlehensnehmer könnten infolgedessen in Zukunft nicht die erforderlichen Mittel zur Verfügung stehen, um die Zinsforderungen</w:t>
      </w:r>
      <w:r w:rsidR="003D0FDD" w:rsidRPr="0054621D">
        <w:rPr>
          <w:rFonts w:cstheme="minorHAnsi"/>
        </w:rPr>
        <w:t xml:space="preserve"> der </w:t>
      </w:r>
      <w:r w:rsidR="00CB5575" w:rsidRPr="0054621D">
        <w:rPr>
          <w:rFonts w:cstheme="minorHAnsi"/>
        </w:rPr>
        <w:t>Nachrangdarlehensgeber</w:t>
      </w:r>
      <w:r w:rsidRPr="0054621D">
        <w:rPr>
          <w:rFonts w:cstheme="minorHAnsi"/>
        </w:rPr>
        <w:t xml:space="preserve"> zu erfüllen und das eingesetzte Darlehenskapital zurückzuzahlen. </w:t>
      </w:r>
    </w:p>
    <w:p w14:paraId="7CB5E5F2" w14:textId="30993AAA" w:rsidR="00854B1F" w:rsidRPr="0054621D" w:rsidRDefault="00854B1F" w:rsidP="00877084">
      <w:pPr>
        <w:pStyle w:val="ListParagraph"/>
        <w:numPr>
          <w:ilvl w:val="0"/>
          <w:numId w:val="4"/>
        </w:numPr>
        <w:spacing w:after="240"/>
        <w:ind w:left="709" w:hanging="709"/>
        <w:jc w:val="both"/>
        <w:rPr>
          <w:rFonts w:cstheme="minorHAnsi"/>
          <w:b/>
        </w:rPr>
      </w:pPr>
      <w:r w:rsidRPr="0054621D">
        <w:rPr>
          <w:rFonts w:cstheme="minorHAnsi"/>
          <w:b/>
        </w:rPr>
        <w:t>Wechselkursrisiko des Projektinhabers</w:t>
      </w:r>
    </w:p>
    <w:p w14:paraId="3AF3DF60" w14:textId="004DBC9A" w:rsidR="00D456FB" w:rsidRPr="0054621D" w:rsidRDefault="00D456FB" w:rsidP="00D456FB">
      <w:pPr>
        <w:jc w:val="both"/>
        <w:rPr>
          <w:b/>
          <w:bCs/>
        </w:rPr>
      </w:pPr>
      <w:r w:rsidRPr="0054621D">
        <w:t xml:space="preserve">Der wirtschaftliche Erfolg des Projektinhabers hängt von mehreren Einflussgrößen ab, unter anderem von Wechselkursrisiken zwischen </w:t>
      </w:r>
      <w:r w:rsidR="001F729F" w:rsidRPr="0054621D">
        <w:t>VND</w:t>
      </w:r>
      <w:r w:rsidRPr="0054621D">
        <w:t xml:space="preserve"> und EUR sowie zwischen USD und EUR. Diese können sich negativ auf die Rückzahlung der Zins- und Darlehensvaluta des Projektinhabers auswirken, was sich wiederum negativ auf die Rückzahlung der Zins- und Nachrangdarlehensvaluta des Emittenten auswirken kann.</w:t>
      </w:r>
    </w:p>
    <w:p w14:paraId="5B8008FA" w14:textId="77777777" w:rsidR="00AB3C3F" w:rsidRPr="0054621D" w:rsidRDefault="00AB3C3F" w:rsidP="00AB3C3F">
      <w:pPr>
        <w:pStyle w:val="ListParagraph"/>
        <w:keepNext/>
        <w:numPr>
          <w:ilvl w:val="0"/>
          <w:numId w:val="4"/>
        </w:numPr>
        <w:spacing w:after="240"/>
        <w:ind w:hanging="720"/>
        <w:contextualSpacing w:val="0"/>
        <w:jc w:val="both"/>
        <w:rPr>
          <w:rFonts w:cstheme="minorHAnsi"/>
          <w:b/>
        </w:rPr>
      </w:pPr>
      <w:r w:rsidRPr="0054621D">
        <w:rPr>
          <w:rFonts w:cstheme="minorHAnsi"/>
          <w:b/>
        </w:rPr>
        <w:t>Emissionsgesellschaft</w:t>
      </w:r>
    </w:p>
    <w:p w14:paraId="4A376255" w14:textId="4BEA880F" w:rsidR="00AB3C3F" w:rsidRPr="0054621D" w:rsidRDefault="00AB3C3F" w:rsidP="00AB3C3F">
      <w:pPr>
        <w:keepNext/>
        <w:spacing w:after="240"/>
        <w:jc w:val="both"/>
        <w:rPr>
          <w:rFonts w:cstheme="minorHAnsi"/>
        </w:rPr>
      </w:pPr>
      <w:r w:rsidRPr="0054621D">
        <w:rPr>
          <w:rFonts w:cstheme="minorHAnsi"/>
        </w:rPr>
        <w:t xml:space="preserve">Bei dem Darlehensnehmer handelt es sich um eine Emissionsgesellschaft (Ein-Zweck-Gesellschaft). Der Darlehensnehmer betreibt außer der Durchführung von </w:t>
      </w:r>
      <w:r w:rsidR="00F17F64" w:rsidRPr="0054621D">
        <w:rPr>
          <w:rFonts w:cstheme="minorHAnsi"/>
        </w:rPr>
        <w:t>Emissionen und</w:t>
      </w:r>
      <w:r w:rsidRPr="0054621D">
        <w:rPr>
          <w:rFonts w:cstheme="minorHAnsi"/>
        </w:rPr>
        <w:t xml:space="preserve"> der Weiterleitung der Darlehensbeträge an den Projektinhaber kein weiteres Geschäft, aus dem eventuelle Verluste gedeckt und Zahlungsschwierigkeiten überwunden werden könnten. Ob und wann die nach dem Darlehensvertrag geschuldeten Zinsen und die Tilgung geleistet werden können, hängt daher maßgeblich vom wirtschaftlichen Erfolg des Projektinhabers sowie vom Verlauf und vom wirtschaftlichen Erfolg des</w:t>
      </w:r>
      <w:r w:rsidR="00832B20" w:rsidRPr="0054621D">
        <w:rPr>
          <w:rFonts w:cstheme="minorHAnsi"/>
        </w:rPr>
        <w:t xml:space="preserve"> durch </w:t>
      </w:r>
      <w:r w:rsidR="00FB13E0" w:rsidRPr="0054621D">
        <w:rPr>
          <w:rFonts w:cstheme="minorHAnsi"/>
        </w:rPr>
        <w:t xml:space="preserve">den Projektinhaber </w:t>
      </w:r>
      <w:r w:rsidR="00832B20" w:rsidRPr="0054621D">
        <w:rPr>
          <w:rFonts w:cstheme="minorHAnsi"/>
        </w:rPr>
        <w:t xml:space="preserve">durchgeführten </w:t>
      </w:r>
      <w:r w:rsidR="005D5AEA" w:rsidRPr="0054621D">
        <w:rPr>
          <w:rFonts w:cstheme="minorHAnsi"/>
        </w:rPr>
        <w:t>Solarprojekt</w:t>
      </w:r>
      <w:r w:rsidRPr="0054621D">
        <w:rPr>
          <w:rFonts w:cstheme="minorHAnsi"/>
        </w:rPr>
        <w:t>s ab.</w:t>
      </w:r>
    </w:p>
    <w:p w14:paraId="54A6C580" w14:textId="1BD29358" w:rsidR="00832B20" w:rsidRPr="0054621D" w:rsidRDefault="005D5AEA" w:rsidP="00E649BA">
      <w:pPr>
        <w:keepNext/>
        <w:spacing w:after="240"/>
        <w:jc w:val="both"/>
        <w:rPr>
          <w:rFonts w:cstheme="minorHAnsi"/>
        </w:rPr>
      </w:pPr>
      <w:r w:rsidRPr="0054621D">
        <w:rPr>
          <w:rFonts w:cstheme="minorHAnsi"/>
        </w:rPr>
        <w:t>Der Darlehensnehmer plant weitere Fundings und führt ggf. parallel mehrere Fundings durch. Er leitet die jeweilige Darlehensvaluta zur Durchführung der einzelnen Projekte an den jeweiligen Projektinhaber weiter. Durch das dem Darlehensnehmer anhaftende Portfoliorisiko entsteht für den Nachrangdarlehensgeber wiederum das Risiko, dass sich andere Projekte, in die er selbst nicht investiert hat, mittelbar auf sein eigenes Investment auswirken können.</w:t>
      </w:r>
    </w:p>
    <w:p w14:paraId="33C0E02A" w14:textId="77777777" w:rsidR="00D909A0" w:rsidRPr="0054621D" w:rsidRDefault="00D909A0" w:rsidP="00D909A0">
      <w:pPr>
        <w:pStyle w:val="ListParagraph"/>
        <w:keepNext/>
        <w:numPr>
          <w:ilvl w:val="0"/>
          <w:numId w:val="4"/>
        </w:numPr>
        <w:spacing w:after="240"/>
        <w:ind w:hanging="720"/>
        <w:contextualSpacing w:val="0"/>
        <w:jc w:val="both"/>
        <w:rPr>
          <w:rFonts w:cstheme="minorHAnsi"/>
          <w:b/>
        </w:rPr>
      </w:pPr>
      <w:r w:rsidRPr="0054621D">
        <w:rPr>
          <w:rFonts w:cstheme="minorHAnsi"/>
          <w:b/>
        </w:rPr>
        <w:t>Portfoliorisiko auf Projektinhaberebene</w:t>
      </w:r>
    </w:p>
    <w:p w14:paraId="09647045" w14:textId="77777777" w:rsidR="00D909A0" w:rsidRPr="0054621D" w:rsidRDefault="00D909A0" w:rsidP="00D909A0">
      <w:pPr>
        <w:keepNext/>
        <w:spacing w:after="240"/>
        <w:jc w:val="both"/>
        <w:rPr>
          <w:rFonts w:cstheme="minorHAnsi"/>
        </w:rPr>
      </w:pPr>
      <w:r w:rsidRPr="0054621D">
        <w:rPr>
          <w:rFonts w:cstheme="minorHAnsi"/>
        </w:rPr>
        <w:t xml:space="preserve">Der Projektinhaber betreibt ein Portfolio an Projekten bzw. wird ein Portfolio an Projekten betreiben, aus denen der Projektinhaber Umsätze erzielt. Der Projektinhaber plant dieses Portfolio an Projekten in Zukunft weiter zu vergrößern. Die zukünftigen Projekte sind nicht bekannt. </w:t>
      </w:r>
    </w:p>
    <w:p w14:paraId="6D33C5B4" w14:textId="77777777" w:rsidR="00D909A0" w:rsidRPr="0054621D" w:rsidRDefault="00D909A0" w:rsidP="00D909A0">
      <w:pPr>
        <w:keepNext/>
        <w:spacing w:after="240"/>
        <w:jc w:val="both"/>
        <w:rPr>
          <w:rFonts w:cstheme="minorHAnsi"/>
        </w:rPr>
      </w:pPr>
      <w:r w:rsidRPr="0054621D">
        <w:rPr>
          <w:rFonts w:cstheme="minorHAnsi"/>
        </w:rPr>
        <w:t xml:space="preserve">Es besteht das Risiko, dass sich andere Projekte, in die der Nachrangdarlehensgeber nicht selbst investiert hat, nachteilig auf das vom Nachrangdarlehensgeber getätigte Investment auswirken. Dies kann etwa der Fall sein, wenn ein anderes Projekt des Projektinhabers, in das der Nachrangdarlehensgeber nicht investiert hat, wirtschaftlich fehlschlägt oder nicht wie geplant rentabel </w:t>
      </w:r>
      <w:r w:rsidRPr="0054621D">
        <w:rPr>
          <w:rFonts w:cstheme="minorHAnsi"/>
        </w:rPr>
        <w:lastRenderedPageBreak/>
        <w:t xml:space="preserve">durchgeführt werden kann und der Projektinhaber dadurch die fälligen Verbindlichkeiten gegenüber dem Darlehensnehmer nicht bedienen kann. </w:t>
      </w:r>
    </w:p>
    <w:p w14:paraId="41AEB112" w14:textId="75BD95D9" w:rsidR="001A057E" w:rsidRPr="0054621D" w:rsidRDefault="001A057E" w:rsidP="00474DB2">
      <w:pPr>
        <w:pStyle w:val="ListParagraph"/>
        <w:keepNext/>
        <w:numPr>
          <w:ilvl w:val="0"/>
          <w:numId w:val="4"/>
        </w:numPr>
        <w:spacing w:after="240"/>
        <w:ind w:hanging="720"/>
        <w:contextualSpacing w:val="0"/>
        <w:jc w:val="both"/>
        <w:rPr>
          <w:rFonts w:cstheme="minorHAnsi"/>
          <w:b/>
        </w:rPr>
      </w:pPr>
      <w:r w:rsidRPr="0054621D">
        <w:rPr>
          <w:rFonts w:cstheme="minorHAnsi"/>
          <w:b/>
        </w:rPr>
        <w:t>Schlüsselpersonenrisiko</w:t>
      </w:r>
    </w:p>
    <w:p w14:paraId="1C3CA49B" w14:textId="332F5BFE" w:rsidR="001A057E" w:rsidRPr="0054621D" w:rsidRDefault="001A057E" w:rsidP="00474DB2">
      <w:pPr>
        <w:spacing w:after="240"/>
        <w:jc w:val="both"/>
        <w:rPr>
          <w:rFonts w:cstheme="minorHAnsi"/>
        </w:rPr>
      </w:pPr>
      <w:r w:rsidRPr="0054621D">
        <w:rPr>
          <w:rFonts w:cstheme="minorHAnsi"/>
        </w:rPr>
        <w:t xml:space="preserve">Durch den Verlust von Kompetenzträgern des </w:t>
      </w:r>
      <w:r w:rsidR="00AB3C3F" w:rsidRPr="0054621D">
        <w:rPr>
          <w:rFonts w:cstheme="minorHAnsi"/>
        </w:rPr>
        <w:t>Projektinhabers</w:t>
      </w:r>
      <w:r w:rsidRPr="0054621D">
        <w:rPr>
          <w:rFonts w:cstheme="minorHAnsi"/>
        </w:rPr>
        <w:t xml:space="preserve"> besteht das Risiko, dass Fachwissen nicht mehr zur Verfügung st</w:t>
      </w:r>
      <w:r w:rsidR="00A50336" w:rsidRPr="0054621D">
        <w:rPr>
          <w:rFonts w:cstheme="minorHAnsi"/>
        </w:rPr>
        <w:t>eht und somit ein qualifizierte</w:t>
      </w:r>
      <w:r w:rsidR="001A5EA6" w:rsidRPr="0054621D">
        <w:rPr>
          <w:rFonts w:cstheme="minorHAnsi"/>
        </w:rPr>
        <w:t>s</w:t>
      </w:r>
      <w:r w:rsidR="00A50336" w:rsidRPr="0054621D">
        <w:rPr>
          <w:rFonts w:cstheme="minorHAnsi"/>
        </w:rPr>
        <w:t xml:space="preserve"> </w:t>
      </w:r>
      <w:r w:rsidR="001A5EA6" w:rsidRPr="0054621D">
        <w:rPr>
          <w:rFonts w:cstheme="minorHAnsi"/>
        </w:rPr>
        <w:t xml:space="preserve">Investitions- und </w:t>
      </w:r>
      <w:r w:rsidRPr="0054621D">
        <w:rPr>
          <w:rFonts w:cstheme="minorHAnsi"/>
        </w:rPr>
        <w:t xml:space="preserve">Risikomanagement nicht mehr in vollem Umfang gewährleistet werden kann. Der Verlust solcher unternehmenstragenden Personen könnte einen nachteiligen Effekt auf die wirtschaftliche Entwicklung des </w:t>
      </w:r>
      <w:r w:rsidR="00AB3C3F" w:rsidRPr="0054621D">
        <w:rPr>
          <w:rFonts w:cstheme="minorHAnsi"/>
        </w:rPr>
        <w:t>Projektinhabers</w:t>
      </w:r>
      <w:r w:rsidRPr="0054621D">
        <w:rPr>
          <w:rFonts w:cstheme="minorHAnsi"/>
        </w:rPr>
        <w:t xml:space="preserve"> haben. Dadurch könnte sich die Höhe der Zins</w:t>
      </w:r>
      <w:r w:rsidR="003952C2" w:rsidRPr="0054621D">
        <w:rPr>
          <w:rFonts w:cstheme="minorHAnsi"/>
        </w:rPr>
        <w:t>- und/oder Tilgungs</w:t>
      </w:r>
      <w:r w:rsidRPr="0054621D">
        <w:rPr>
          <w:rFonts w:cstheme="minorHAnsi"/>
        </w:rPr>
        <w:t>z</w:t>
      </w:r>
      <w:r w:rsidR="00AB3C3F" w:rsidRPr="0054621D">
        <w:rPr>
          <w:rFonts w:cstheme="minorHAnsi"/>
        </w:rPr>
        <w:t xml:space="preserve">ahlungen an den Darlehensnehmer und somit an die </w:t>
      </w:r>
      <w:r w:rsidR="00CB5575" w:rsidRPr="0054621D">
        <w:rPr>
          <w:rFonts w:cstheme="minorHAnsi"/>
        </w:rPr>
        <w:t>Nachrangdarlehensgeber</w:t>
      </w:r>
      <w:r w:rsidR="00AB3C3F" w:rsidRPr="0054621D">
        <w:rPr>
          <w:rFonts w:cstheme="minorHAnsi"/>
        </w:rPr>
        <w:t xml:space="preserve"> </w:t>
      </w:r>
      <w:r w:rsidRPr="0054621D">
        <w:rPr>
          <w:rFonts w:cstheme="minorHAnsi"/>
        </w:rPr>
        <w:t xml:space="preserve">reduzieren oder </w:t>
      </w:r>
      <w:r w:rsidR="003D3398" w:rsidRPr="0054621D">
        <w:rPr>
          <w:rFonts w:cstheme="minorHAnsi"/>
        </w:rPr>
        <w:t xml:space="preserve">diese könnten </w:t>
      </w:r>
      <w:r w:rsidRPr="0054621D">
        <w:rPr>
          <w:rFonts w:cstheme="minorHAnsi"/>
        </w:rPr>
        <w:t>ausfallen.</w:t>
      </w:r>
    </w:p>
    <w:p w14:paraId="6DDCF3A0" w14:textId="16A6A74E" w:rsidR="001A057E" w:rsidRPr="0054621D" w:rsidRDefault="001A057E">
      <w:pPr>
        <w:pStyle w:val="ListParagraph"/>
        <w:keepNext/>
        <w:numPr>
          <w:ilvl w:val="0"/>
          <w:numId w:val="4"/>
        </w:numPr>
        <w:spacing w:after="240"/>
        <w:ind w:hanging="720"/>
        <w:contextualSpacing w:val="0"/>
        <w:jc w:val="both"/>
        <w:rPr>
          <w:rFonts w:cstheme="minorHAnsi"/>
          <w:b/>
        </w:rPr>
      </w:pPr>
      <w:r w:rsidRPr="0054621D">
        <w:rPr>
          <w:rFonts w:cstheme="minorHAnsi"/>
          <w:b/>
        </w:rPr>
        <w:t>Aufsichtsrechtsrisiko</w:t>
      </w:r>
    </w:p>
    <w:p w14:paraId="507B26CD" w14:textId="13FD7DFD" w:rsidR="001A057E" w:rsidRPr="0054621D" w:rsidRDefault="001A057E" w:rsidP="00DD773E">
      <w:pPr>
        <w:spacing w:after="240"/>
        <w:jc w:val="both"/>
        <w:rPr>
          <w:rFonts w:cstheme="minorHAnsi"/>
        </w:rPr>
      </w:pPr>
      <w:r w:rsidRPr="0054621D">
        <w:rPr>
          <w:rFonts w:cstheme="minorHAnsi"/>
        </w:rPr>
        <w:t xml:space="preserve">Es besteht das Risiko, dass die </w:t>
      </w:r>
      <w:r w:rsidR="00AE42C8" w:rsidRPr="0054621D">
        <w:rPr>
          <w:rFonts w:cstheme="minorHAnsi"/>
        </w:rPr>
        <w:t>rechtlichen Rahmenbedingungen</w:t>
      </w:r>
      <w:r w:rsidRPr="0054621D">
        <w:rPr>
          <w:rFonts w:cstheme="minorHAnsi"/>
        </w:rPr>
        <w:t xml:space="preserve"> so geändert werden oder sich die Tätigkeit des Darlehensnehmers so verändert, dass sie ein Investmentvermögen im Sinne des </w:t>
      </w:r>
      <w:r w:rsidR="008A5066" w:rsidRPr="0054621D">
        <w:rPr>
          <w:rFonts w:cstheme="minorHAnsi"/>
        </w:rPr>
        <w:t>Kapital</w:t>
      </w:r>
      <w:r w:rsidR="0055228C" w:rsidRPr="0054621D">
        <w:rPr>
          <w:rFonts w:cstheme="minorHAnsi"/>
        </w:rPr>
        <w:t>anlagege</w:t>
      </w:r>
      <w:r w:rsidRPr="0054621D">
        <w:rPr>
          <w:rFonts w:cstheme="minorHAnsi"/>
        </w:rPr>
        <w:t xml:space="preserve">setzbuchs darstellt, so dass die Bundesanstalt für Finanzdienstleistungsaufsicht Maßnahmen nach § 15 des </w:t>
      </w:r>
      <w:r w:rsidR="0055228C" w:rsidRPr="0054621D">
        <w:rPr>
          <w:rFonts w:cstheme="minorHAnsi"/>
        </w:rPr>
        <w:t>Kapitalanlage</w:t>
      </w:r>
      <w:r w:rsidRPr="0054621D">
        <w:rPr>
          <w:rFonts w:cstheme="minorHAnsi"/>
        </w:rPr>
        <w:t xml:space="preserve">gesetzbuchs ergreifen und insbesondere die Rückabwicklung der Geschäfte des Darlehensnehmers anordnen kann. Dies kann zu geringeren Zinszahlungen an die </w:t>
      </w:r>
      <w:r w:rsidR="00CB5575" w:rsidRPr="0054621D">
        <w:rPr>
          <w:rFonts w:cstheme="minorHAnsi"/>
        </w:rPr>
        <w:t>Nachrangdarlehensgeber</w:t>
      </w:r>
      <w:r w:rsidRPr="0054621D">
        <w:rPr>
          <w:rFonts w:cstheme="minorHAnsi"/>
        </w:rPr>
        <w:t xml:space="preserve"> bis hin zum Totalverlust des Anlagebetrags führen.</w:t>
      </w:r>
    </w:p>
    <w:p w14:paraId="04EAFC94" w14:textId="77777777" w:rsidR="00545825" w:rsidRPr="0054621D" w:rsidRDefault="00545825" w:rsidP="00474DB2">
      <w:pPr>
        <w:pStyle w:val="ListParagraph"/>
        <w:keepNext/>
        <w:numPr>
          <w:ilvl w:val="0"/>
          <w:numId w:val="4"/>
        </w:numPr>
        <w:spacing w:after="240"/>
        <w:ind w:hanging="720"/>
        <w:contextualSpacing w:val="0"/>
        <w:jc w:val="both"/>
        <w:rPr>
          <w:rFonts w:cstheme="minorHAnsi"/>
          <w:b/>
        </w:rPr>
      </w:pPr>
      <w:r w:rsidRPr="0054621D">
        <w:rPr>
          <w:rFonts w:cstheme="minorHAnsi"/>
          <w:b/>
        </w:rPr>
        <w:t>Prognoserisiko</w:t>
      </w:r>
    </w:p>
    <w:p w14:paraId="45E8684C" w14:textId="187CA034" w:rsidR="0031179F" w:rsidRPr="0054621D" w:rsidRDefault="00EE3CC3" w:rsidP="00474DB2">
      <w:pPr>
        <w:spacing w:after="240"/>
        <w:jc w:val="both"/>
        <w:rPr>
          <w:rFonts w:cstheme="minorHAnsi"/>
        </w:rPr>
      </w:pPr>
      <w:r w:rsidRPr="0054621D">
        <w:rPr>
          <w:rFonts w:cstheme="minorHAnsi"/>
        </w:rPr>
        <w:t xml:space="preserve">Die Prognosen hinsichtlich </w:t>
      </w:r>
      <w:r w:rsidR="00477CF2" w:rsidRPr="0054621D">
        <w:rPr>
          <w:rFonts w:cstheme="minorHAnsi"/>
        </w:rPr>
        <w:t xml:space="preserve">des Projektverlaufs, </w:t>
      </w:r>
      <w:r w:rsidR="002B1505" w:rsidRPr="0054621D">
        <w:rPr>
          <w:rFonts w:cstheme="minorHAnsi"/>
        </w:rPr>
        <w:t xml:space="preserve">der Kosten für die </w:t>
      </w:r>
      <w:r w:rsidR="00477CF2" w:rsidRPr="0054621D">
        <w:rPr>
          <w:rFonts w:cstheme="minorHAnsi"/>
        </w:rPr>
        <w:t>Durchführung des Projekts</w:t>
      </w:r>
      <w:r w:rsidR="002213CA" w:rsidRPr="0054621D">
        <w:rPr>
          <w:rFonts w:cstheme="minorHAnsi"/>
        </w:rPr>
        <w:t xml:space="preserve">, </w:t>
      </w:r>
      <w:r w:rsidR="002B1505" w:rsidRPr="0054621D">
        <w:rPr>
          <w:rFonts w:cstheme="minorHAnsi"/>
        </w:rPr>
        <w:t>der erzielbaren Erträge</w:t>
      </w:r>
      <w:r w:rsidRPr="0054621D">
        <w:rPr>
          <w:rFonts w:cstheme="minorHAnsi"/>
        </w:rPr>
        <w:t xml:space="preserve"> </w:t>
      </w:r>
      <w:r w:rsidR="002213CA" w:rsidRPr="0054621D">
        <w:rPr>
          <w:rFonts w:cstheme="minorHAnsi"/>
        </w:rPr>
        <w:t xml:space="preserve">und weiterer Aspekte </w:t>
      </w:r>
      <w:r w:rsidRPr="0054621D">
        <w:rPr>
          <w:rFonts w:cstheme="minorHAnsi"/>
        </w:rPr>
        <w:t xml:space="preserve">könnten sich als unzutreffend erweisen. </w:t>
      </w:r>
    </w:p>
    <w:p w14:paraId="7FF5FDBA" w14:textId="77777777" w:rsidR="002F4299" w:rsidRPr="0054621D" w:rsidRDefault="002F4299" w:rsidP="00474DB2">
      <w:pPr>
        <w:spacing w:after="240"/>
        <w:jc w:val="both"/>
        <w:rPr>
          <w:rFonts w:cstheme="minorHAnsi"/>
        </w:rPr>
      </w:pPr>
      <w:r w:rsidRPr="0054621D">
        <w:rPr>
          <w:rFonts w:cstheme="minorHAnsi"/>
        </w:rPr>
        <w:t xml:space="preserve">Bisherige Markt- oder Geschäftsentwicklungen sind keine Grundlage oder Indikator für zukünftige Entwicklungen. </w:t>
      </w:r>
    </w:p>
    <w:p w14:paraId="68CE96D4" w14:textId="77777777" w:rsidR="00D86A2E" w:rsidRPr="0054621D" w:rsidRDefault="00D86A2E" w:rsidP="00474DB2">
      <w:pPr>
        <w:spacing w:after="240"/>
        <w:jc w:val="both"/>
        <w:rPr>
          <w:rFonts w:cstheme="minorHAnsi"/>
        </w:rPr>
      </w:pPr>
    </w:p>
    <w:p w14:paraId="617D2080" w14:textId="1D4D30E9" w:rsidR="00464C9B" w:rsidRPr="0054621D" w:rsidRDefault="00464C9B" w:rsidP="00474DB2">
      <w:pPr>
        <w:pStyle w:val="ListParagraph"/>
        <w:keepNext/>
        <w:numPr>
          <w:ilvl w:val="0"/>
          <w:numId w:val="1"/>
        </w:numPr>
        <w:spacing w:after="240"/>
        <w:ind w:hanging="720"/>
        <w:contextualSpacing w:val="0"/>
        <w:jc w:val="both"/>
        <w:rPr>
          <w:rFonts w:cstheme="minorHAnsi"/>
          <w:b/>
        </w:rPr>
      </w:pPr>
      <w:r w:rsidRPr="0054621D">
        <w:rPr>
          <w:rFonts w:cstheme="minorHAnsi"/>
          <w:b/>
        </w:rPr>
        <w:t xml:space="preserve">Risiken auf Ebene des </w:t>
      </w:r>
      <w:r w:rsidR="00CB5575" w:rsidRPr="0054621D">
        <w:rPr>
          <w:rFonts w:cstheme="minorHAnsi"/>
          <w:b/>
        </w:rPr>
        <w:t>Nachrangdarlehensgeber</w:t>
      </w:r>
      <w:r w:rsidRPr="0054621D">
        <w:rPr>
          <w:rFonts w:cstheme="minorHAnsi"/>
          <w:b/>
        </w:rPr>
        <w:t xml:space="preserve">s </w:t>
      </w:r>
    </w:p>
    <w:p w14:paraId="07CFC979" w14:textId="77777777" w:rsidR="00B86258" w:rsidRPr="0054621D" w:rsidRDefault="00B86258" w:rsidP="00474DB2">
      <w:pPr>
        <w:pStyle w:val="ListParagraph"/>
        <w:keepNext/>
        <w:numPr>
          <w:ilvl w:val="0"/>
          <w:numId w:val="5"/>
        </w:numPr>
        <w:spacing w:after="240"/>
        <w:ind w:hanging="720"/>
        <w:contextualSpacing w:val="0"/>
        <w:jc w:val="both"/>
        <w:rPr>
          <w:rFonts w:cstheme="minorHAnsi"/>
          <w:b/>
        </w:rPr>
      </w:pPr>
      <w:r w:rsidRPr="0054621D">
        <w:rPr>
          <w:rFonts w:cstheme="minorHAnsi"/>
          <w:b/>
        </w:rPr>
        <w:t>Fremdfinanzierungsrisiko</w:t>
      </w:r>
    </w:p>
    <w:p w14:paraId="4970D94F" w14:textId="18F7BF31" w:rsidR="00EF77F6" w:rsidRPr="0054621D" w:rsidRDefault="00D06F95" w:rsidP="00474DB2">
      <w:pPr>
        <w:spacing w:after="240"/>
        <w:jc w:val="both"/>
        <w:rPr>
          <w:rFonts w:cstheme="minorHAnsi"/>
        </w:rPr>
      </w:pPr>
      <w:r w:rsidRPr="0054621D">
        <w:rPr>
          <w:rFonts w:cstheme="minorHAnsi"/>
        </w:rPr>
        <w:t xml:space="preserve">Dem </w:t>
      </w:r>
      <w:r w:rsidR="00CB5575" w:rsidRPr="0054621D">
        <w:rPr>
          <w:rFonts w:cstheme="minorHAnsi"/>
        </w:rPr>
        <w:t>Nachrangdarlehensgeber</w:t>
      </w:r>
      <w:r w:rsidRPr="0054621D">
        <w:rPr>
          <w:rFonts w:cstheme="minorHAnsi"/>
        </w:rPr>
        <w:t xml:space="preserve"> können </w:t>
      </w:r>
      <w:r w:rsidR="00874CFB" w:rsidRPr="0054621D">
        <w:rPr>
          <w:rFonts w:cstheme="minorHAnsi"/>
        </w:rPr>
        <w:t>im Einzelfall in Abhängigkeit von den individuellen Umständen weitere Vermögensnachteile entstehen, z.B. aufgrund von Steuernachzahlungen</w:t>
      </w:r>
      <w:r w:rsidR="00454A7E" w:rsidRPr="0054621D">
        <w:rPr>
          <w:rFonts w:cstheme="minorHAnsi"/>
        </w:rPr>
        <w:t>.</w:t>
      </w:r>
      <w:r w:rsidR="00874CFB" w:rsidRPr="0054621D">
        <w:rPr>
          <w:rFonts w:cstheme="minorHAnsi"/>
        </w:rPr>
        <w:t xml:space="preserve"> </w:t>
      </w:r>
      <w:r w:rsidR="00EF77F6" w:rsidRPr="0054621D">
        <w:rPr>
          <w:rFonts w:cstheme="minorHAnsi"/>
        </w:rPr>
        <w:t xml:space="preserve">Wenn der </w:t>
      </w:r>
      <w:r w:rsidR="00CB5575" w:rsidRPr="0054621D">
        <w:rPr>
          <w:rFonts w:cstheme="minorHAnsi"/>
        </w:rPr>
        <w:t>Nachrangdarlehensgeber</w:t>
      </w:r>
      <w:r w:rsidR="00EF77F6" w:rsidRPr="0054621D">
        <w:rPr>
          <w:rFonts w:cstheme="minorHAnsi"/>
        </w:rPr>
        <w:t xml:space="preserve"> die Darlehenssumme fremdfinanziert, </w:t>
      </w:r>
      <w:r w:rsidR="00DF30A7" w:rsidRPr="0054621D">
        <w:rPr>
          <w:rFonts w:cstheme="minorHAnsi"/>
        </w:rPr>
        <w:t xml:space="preserve">indem er etwa einen privaten Kredit bei einer Bank aufnimmt, </w:t>
      </w:r>
      <w:r w:rsidR="00EF77F6" w:rsidRPr="0054621D">
        <w:rPr>
          <w:rFonts w:cstheme="minorHAnsi"/>
        </w:rPr>
        <w:t xml:space="preserve">kann es über den Verlust des investierten Kapitals hinaus zur Gefährdung des weiteren Vermögens des </w:t>
      </w:r>
      <w:r w:rsidR="00CB5575" w:rsidRPr="0054621D">
        <w:rPr>
          <w:rFonts w:cstheme="minorHAnsi"/>
        </w:rPr>
        <w:t>Nachrangdarlehensgeber</w:t>
      </w:r>
      <w:r w:rsidR="006B4A31" w:rsidRPr="0054621D">
        <w:rPr>
          <w:rFonts w:cstheme="minorHAnsi"/>
        </w:rPr>
        <w:t xml:space="preserve">s </w:t>
      </w:r>
      <w:r w:rsidR="00EF77F6" w:rsidRPr="0054621D">
        <w:rPr>
          <w:rFonts w:cstheme="minorHAnsi"/>
        </w:rPr>
        <w:t>kommen.</w:t>
      </w:r>
      <w:r w:rsidR="00625F2B" w:rsidRPr="0054621D">
        <w:rPr>
          <w:rFonts w:cstheme="minorHAnsi"/>
        </w:rPr>
        <w:t xml:space="preserve"> </w:t>
      </w:r>
      <w:r w:rsidR="002E5EF5" w:rsidRPr="0054621D">
        <w:rPr>
          <w:rFonts w:cstheme="minorHAnsi"/>
        </w:rPr>
        <w:t xml:space="preserve">Das maximale Risiko des </w:t>
      </w:r>
      <w:r w:rsidR="00CB5575" w:rsidRPr="0054621D">
        <w:rPr>
          <w:rFonts w:cstheme="minorHAnsi"/>
        </w:rPr>
        <w:t>Nachrangdarlehensgeber</w:t>
      </w:r>
      <w:r w:rsidR="00A417E4" w:rsidRPr="0054621D">
        <w:rPr>
          <w:rFonts w:cstheme="minorHAnsi"/>
        </w:rPr>
        <w:t xml:space="preserve">s </w:t>
      </w:r>
      <w:r w:rsidR="002E5EF5" w:rsidRPr="0054621D">
        <w:rPr>
          <w:rFonts w:cstheme="minorHAnsi"/>
        </w:rPr>
        <w:t xml:space="preserve">besteht in diesem Fall in einer Überschuldung, die im schlechtesten Fall bis zur Privatinsolvenz des </w:t>
      </w:r>
      <w:r w:rsidR="00CB5575" w:rsidRPr="0054621D">
        <w:rPr>
          <w:rFonts w:cstheme="minorHAnsi"/>
        </w:rPr>
        <w:t>Nachrangdarlehensgeber</w:t>
      </w:r>
      <w:r w:rsidR="00A417E4" w:rsidRPr="0054621D">
        <w:rPr>
          <w:rFonts w:cstheme="minorHAnsi"/>
        </w:rPr>
        <w:t xml:space="preserve">s </w:t>
      </w:r>
      <w:r w:rsidR="002E5EF5" w:rsidRPr="0054621D">
        <w:rPr>
          <w:rFonts w:cstheme="minorHAnsi"/>
        </w:rPr>
        <w:t xml:space="preserve">führen kann. Dies kann der Fall sein, wenn bei geringen oder keinen Rückflüssen aus der </w:t>
      </w:r>
      <w:r w:rsidR="005D5AEA" w:rsidRPr="0054621D">
        <w:rPr>
          <w:rFonts w:cstheme="minorHAnsi"/>
        </w:rPr>
        <w:t>Kapitalanlage</w:t>
      </w:r>
      <w:r w:rsidR="002E5EF5" w:rsidRPr="0054621D">
        <w:rPr>
          <w:rFonts w:cstheme="minorHAnsi"/>
        </w:rPr>
        <w:t xml:space="preserve"> der </w:t>
      </w:r>
      <w:r w:rsidR="00CB5575" w:rsidRPr="0054621D">
        <w:rPr>
          <w:rFonts w:cstheme="minorHAnsi"/>
        </w:rPr>
        <w:t>Nachrangdarlehensgeber</w:t>
      </w:r>
      <w:r w:rsidR="000549E0" w:rsidRPr="0054621D">
        <w:rPr>
          <w:rFonts w:cstheme="minorHAnsi"/>
        </w:rPr>
        <w:t xml:space="preserve"> </w:t>
      </w:r>
      <w:r w:rsidR="002E5EF5" w:rsidRPr="0054621D">
        <w:rPr>
          <w:rFonts w:cstheme="minorHAnsi"/>
        </w:rPr>
        <w:t>finanziell nicht in der Lage i</w:t>
      </w:r>
      <w:r w:rsidR="005342E1" w:rsidRPr="0054621D">
        <w:rPr>
          <w:rFonts w:cstheme="minorHAnsi"/>
        </w:rPr>
        <w:t>st, die Zins- und Tilgungsbelas</w:t>
      </w:r>
      <w:r w:rsidR="002E5EF5" w:rsidRPr="0054621D">
        <w:rPr>
          <w:rFonts w:cstheme="minorHAnsi"/>
        </w:rPr>
        <w:t>tung aus seiner Fremdfinanzierung zu bedienen.</w:t>
      </w:r>
      <w:r w:rsidR="00DC2663" w:rsidRPr="0054621D">
        <w:rPr>
          <w:rFonts w:cstheme="minorHAnsi"/>
        </w:rPr>
        <w:t xml:space="preserve"> Der Darlehensnehmer rät daher von einer Fremdfinanzierung des Darlehensbetrages ab.</w:t>
      </w:r>
    </w:p>
    <w:p w14:paraId="094D87F1" w14:textId="3A014523" w:rsidR="008D3AC7" w:rsidRPr="0054621D" w:rsidRDefault="002C5C52" w:rsidP="00474DB2">
      <w:pPr>
        <w:pStyle w:val="ListParagraph"/>
        <w:keepNext/>
        <w:numPr>
          <w:ilvl w:val="0"/>
          <w:numId w:val="5"/>
        </w:numPr>
        <w:spacing w:after="240"/>
        <w:ind w:hanging="720"/>
        <w:contextualSpacing w:val="0"/>
        <w:jc w:val="both"/>
        <w:rPr>
          <w:rFonts w:cstheme="minorHAnsi"/>
          <w:b/>
        </w:rPr>
      </w:pPr>
      <w:r w:rsidRPr="0054621D">
        <w:rPr>
          <w:rFonts w:cstheme="minorHAnsi"/>
          <w:b/>
        </w:rPr>
        <w:lastRenderedPageBreak/>
        <w:t xml:space="preserve">Hinweis zu </w:t>
      </w:r>
      <w:r w:rsidR="008D3AC7" w:rsidRPr="0054621D">
        <w:rPr>
          <w:rFonts w:cstheme="minorHAnsi"/>
          <w:b/>
        </w:rPr>
        <w:t>Risiko</w:t>
      </w:r>
      <w:r w:rsidR="00146CFD" w:rsidRPr="0054621D">
        <w:rPr>
          <w:rFonts w:cstheme="minorHAnsi"/>
          <w:b/>
        </w:rPr>
        <w:t>streuung und</w:t>
      </w:r>
      <w:r w:rsidR="00776529" w:rsidRPr="0054621D">
        <w:rPr>
          <w:rFonts w:cstheme="minorHAnsi"/>
          <w:b/>
        </w:rPr>
        <w:t xml:space="preserve"> Vermeidung von Risikokonzentration </w:t>
      </w:r>
      <w:r w:rsidR="008D3AC7" w:rsidRPr="0054621D">
        <w:rPr>
          <w:rFonts w:cstheme="minorHAnsi"/>
          <w:b/>
        </w:rPr>
        <w:t xml:space="preserve"> </w:t>
      </w:r>
    </w:p>
    <w:p w14:paraId="67B77104" w14:textId="3E75F6E8" w:rsidR="00EC6356" w:rsidRPr="0054621D" w:rsidRDefault="00757396" w:rsidP="00EC6356">
      <w:pPr>
        <w:spacing w:after="240"/>
        <w:jc w:val="both"/>
        <w:rPr>
          <w:rFonts w:cstheme="minorHAnsi"/>
        </w:rPr>
      </w:pPr>
      <w:r w:rsidRPr="0054621D">
        <w:rPr>
          <w:rFonts w:cstheme="minorHAnsi"/>
        </w:rPr>
        <w:t xml:space="preserve">Die Investition in </w:t>
      </w:r>
      <w:r w:rsidR="00201547" w:rsidRPr="0054621D">
        <w:rPr>
          <w:rFonts w:cstheme="minorHAnsi"/>
        </w:rPr>
        <w:t>den Nachrang-Darlehensvertrag</w:t>
      </w:r>
      <w:r w:rsidRPr="0054621D">
        <w:rPr>
          <w:rFonts w:cstheme="minorHAnsi"/>
        </w:rPr>
        <w:t xml:space="preserve"> sollte aufgrund der Risikostruktur nur als ein Baustein eines </w:t>
      </w:r>
      <w:r w:rsidR="007D6F19" w:rsidRPr="0054621D">
        <w:rPr>
          <w:rFonts w:cstheme="minorHAnsi"/>
        </w:rPr>
        <w:t xml:space="preserve">diversifizierten </w:t>
      </w:r>
      <w:r w:rsidR="00896D10" w:rsidRPr="0054621D">
        <w:rPr>
          <w:rFonts w:cstheme="minorHAnsi"/>
        </w:rPr>
        <w:t xml:space="preserve">(risikogemischten) </w:t>
      </w:r>
      <w:r w:rsidRPr="0054621D">
        <w:rPr>
          <w:rFonts w:cstheme="minorHAnsi"/>
        </w:rPr>
        <w:t xml:space="preserve">Anlageportfolios betrachtet werden. </w:t>
      </w:r>
      <w:r w:rsidR="00F330CF" w:rsidRPr="0054621D">
        <w:rPr>
          <w:rFonts w:cstheme="minorHAnsi"/>
        </w:rPr>
        <w:t xml:space="preserve">Durch eine Aufteilung des investierten Kapitals auf mehrere </w:t>
      </w:r>
      <w:r w:rsidR="00F53BCB" w:rsidRPr="0054621D">
        <w:rPr>
          <w:rFonts w:cstheme="minorHAnsi"/>
        </w:rPr>
        <w:t xml:space="preserve">Anlageklassen und </w:t>
      </w:r>
      <w:r w:rsidR="00F330CF" w:rsidRPr="0054621D">
        <w:rPr>
          <w:rFonts w:cstheme="minorHAnsi"/>
        </w:rPr>
        <w:t xml:space="preserve">Projekte </w:t>
      </w:r>
      <w:r w:rsidR="00201547" w:rsidRPr="0054621D">
        <w:rPr>
          <w:rFonts w:cstheme="minorHAnsi"/>
        </w:rPr>
        <w:t xml:space="preserve">kann </w:t>
      </w:r>
      <w:r w:rsidR="00F330CF" w:rsidRPr="0054621D">
        <w:rPr>
          <w:rFonts w:cstheme="minorHAnsi"/>
        </w:rPr>
        <w:t xml:space="preserve">eine </w:t>
      </w:r>
      <w:r w:rsidR="00F07F22" w:rsidRPr="0054621D">
        <w:rPr>
          <w:rFonts w:cstheme="minorHAnsi"/>
        </w:rPr>
        <w:t xml:space="preserve">bessere </w:t>
      </w:r>
      <w:r w:rsidR="00F330CF" w:rsidRPr="0054621D">
        <w:rPr>
          <w:rFonts w:cstheme="minorHAnsi"/>
        </w:rPr>
        <w:t xml:space="preserve">Risikostreuung erreicht </w:t>
      </w:r>
      <w:r w:rsidR="00E5351B" w:rsidRPr="0054621D">
        <w:rPr>
          <w:rFonts w:cstheme="minorHAnsi"/>
        </w:rPr>
        <w:t xml:space="preserve">und „Klumpenrisiken“ </w:t>
      </w:r>
      <w:r w:rsidR="00201547" w:rsidRPr="0054621D">
        <w:rPr>
          <w:rFonts w:cstheme="minorHAnsi"/>
        </w:rPr>
        <w:t xml:space="preserve">können </w:t>
      </w:r>
      <w:r w:rsidR="00E5351B" w:rsidRPr="0054621D">
        <w:rPr>
          <w:rFonts w:cstheme="minorHAnsi"/>
        </w:rPr>
        <w:t xml:space="preserve">vermieden </w:t>
      </w:r>
      <w:r w:rsidR="00F330CF" w:rsidRPr="0054621D">
        <w:rPr>
          <w:rFonts w:cstheme="minorHAnsi"/>
        </w:rPr>
        <w:t>werden</w:t>
      </w:r>
      <w:r w:rsidRPr="0054621D">
        <w:rPr>
          <w:rFonts w:cstheme="minorHAnsi"/>
        </w:rPr>
        <w:t>.</w:t>
      </w:r>
      <w:r w:rsidR="0081458C" w:rsidRPr="0054621D">
        <w:rPr>
          <w:rFonts w:cstheme="minorHAnsi"/>
        </w:rPr>
        <w:t xml:space="preserve"> </w:t>
      </w:r>
    </w:p>
    <w:p w14:paraId="4E8E0676" w14:textId="77777777" w:rsidR="00FB1DF9" w:rsidRPr="0054621D" w:rsidRDefault="00FB1DF9" w:rsidP="00EC6356">
      <w:pPr>
        <w:spacing w:after="240"/>
        <w:jc w:val="both"/>
        <w:rPr>
          <w:rFonts w:cstheme="minorHAnsi"/>
        </w:rPr>
      </w:pPr>
    </w:p>
    <w:p w14:paraId="074CADDD" w14:textId="51A0CA46" w:rsidR="00E32F4A" w:rsidRPr="0054621D" w:rsidRDefault="00E32F4A" w:rsidP="00CD7EF1">
      <w:pPr>
        <w:pStyle w:val="ListParagraph"/>
        <w:keepNext/>
        <w:numPr>
          <w:ilvl w:val="0"/>
          <w:numId w:val="1"/>
        </w:numPr>
        <w:spacing w:after="240"/>
        <w:ind w:hanging="720"/>
        <w:contextualSpacing w:val="0"/>
        <w:jc w:val="both"/>
        <w:rPr>
          <w:rFonts w:cstheme="minorHAnsi"/>
          <w:b/>
        </w:rPr>
      </w:pPr>
      <w:r w:rsidRPr="0054621D">
        <w:rPr>
          <w:rFonts w:cstheme="minorHAnsi"/>
          <w:b/>
        </w:rPr>
        <w:t xml:space="preserve">Hinweise </w:t>
      </w:r>
      <w:r w:rsidR="002A2409" w:rsidRPr="0054621D">
        <w:rPr>
          <w:rFonts w:cstheme="minorHAnsi"/>
          <w:b/>
        </w:rPr>
        <w:t xml:space="preserve">des Plattformbetreibers </w:t>
      </w:r>
    </w:p>
    <w:p w14:paraId="310F9488" w14:textId="2BE26560" w:rsidR="006B4B2A" w:rsidRPr="0054621D" w:rsidRDefault="006B4B2A" w:rsidP="00FF6D7F">
      <w:pPr>
        <w:pStyle w:val="ListParagraph"/>
        <w:keepNext/>
        <w:numPr>
          <w:ilvl w:val="0"/>
          <w:numId w:val="8"/>
        </w:numPr>
        <w:spacing w:after="240"/>
        <w:ind w:hanging="720"/>
        <w:contextualSpacing w:val="0"/>
        <w:jc w:val="both"/>
        <w:rPr>
          <w:rFonts w:cstheme="minorHAnsi"/>
          <w:b/>
        </w:rPr>
      </w:pPr>
      <w:r w:rsidRPr="0054621D">
        <w:rPr>
          <w:rFonts w:cstheme="minorHAnsi"/>
          <w:b/>
        </w:rPr>
        <w:t>Umfang der Projektprüfung durch den Plattformbetreiber</w:t>
      </w:r>
    </w:p>
    <w:p w14:paraId="3DC1F1C2" w14:textId="4DBDF032" w:rsidR="00B61464" w:rsidRPr="0054621D" w:rsidRDefault="00E32F4A" w:rsidP="00474DB2">
      <w:pPr>
        <w:spacing w:after="240"/>
        <w:jc w:val="both"/>
        <w:rPr>
          <w:rFonts w:cstheme="minorHAnsi"/>
        </w:rPr>
      </w:pPr>
      <w:r w:rsidRPr="0054621D">
        <w:rPr>
          <w:rFonts w:cstheme="minorHAnsi"/>
          <w:b/>
        </w:rPr>
        <w:t>D</w:t>
      </w:r>
      <w:r w:rsidR="00B61464" w:rsidRPr="0054621D">
        <w:rPr>
          <w:rFonts w:cstheme="minorHAnsi"/>
          <w:b/>
        </w:rPr>
        <w:t>er Plattformbetreiber</w:t>
      </w:r>
      <w:r w:rsidR="00422BCD" w:rsidRPr="0054621D">
        <w:rPr>
          <w:rFonts w:cstheme="minorHAnsi"/>
          <w:b/>
        </w:rPr>
        <w:t xml:space="preserve"> </w:t>
      </w:r>
      <w:r w:rsidR="00B61464" w:rsidRPr="0054621D">
        <w:rPr>
          <w:rFonts w:cstheme="minorHAnsi"/>
          <w:b/>
        </w:rPr>
        <w:t xml:space="preserve">nimmt im Vorfeld des Einstellens eines Projekts auf der Plattform lediglich eine </w:t>
      </w:r>
      <w:r w:rsidR="003403BD" w:rsidRPr="0054621D">
        <w:rPr>
          <w:rFonts w:cstheme="minorHAnsi"/>
          <w:b/>
        </w:rPr>
        <w:t>Plausibilitätsp</w:t>
      </w:r>
      <w:r w:rsidR="00B61464" w:rsidRPr="0054621D">
        <w:rPr>
          <w:rFonts w:cstheme="minorHAnsi"/>
          <w:b/>
        </w:rPr>
        <w:t xml:space="preserve">rüfung vor. </w:t>
      </w:r>
      <w:r w:rsidR="00B61464" w:rsidRPr="0054621D">
        <w:rPr>
          <w:rFonts w:cstheme="minorHAnsi"/>
        </w:rPr>
        <w:t xml:space="preserve">Das Einstellen auf der Plattform stellt keine Investitionsempfehlung dar. </w:t>
      </w:r>
      <w:r w:rsidR="00AB3C3F" w:rsidRPr="0054621D">
        <w:rPr>
          <w:rFonts w:cstheme="minorHAnsi"/>
        </w:rPr>
        <w:t xml:space="preserve">Die Informationen zum Projekt sind Informationen des Darlehensnehmers und des Projektinhabers. </w:t>
      </w:r>
      <w:r w:rsidR="00B61464" w:rsidRPr="0054621D">
        <w:rPr>
          <w:rFonts w:cstheme="minorHAnsi"/>
        </w:rPr>
        <w:t xml:space="preserve">Der Plattformbetreiber beurteilt nicht die Bonität </w:t>
      </w:r>
      <w:r w:rsidR="00AB3C3F" w:rsidRPr="0054621D">
        <w:rPr>
          <w:rFonts w:cstheme="minorHAnsi"/>
        </w:rPr>
        <w:t xml:space="preserve">des Darlehensnehmers und </w:t>
      </w:r>
      <w:r w:rsidR="00B61464" w:rsidRPr="0054621D">
        <w:rPr>
          <w:rFonts w:cstheme="minorHAnsi"/>
        </w:rPr>
        <w:t xml:space="preserve">des </w:t>
      </w:r>
      <w:r w:rsidR="00AB3C3F" w:rsidRPr="0054621D">
        <w:rPr>
          <w:rFonts w:cstheme="minorHAnsi"/>
        </w:rPr>
        <w:t>Projektinhabers</w:t>
      </w:r>
      <w:r w:rsidR="00B61464" w:rsidRPr="0054621D">
        <w:rPr>
          <w:rFonts w:cstheme="minorHAnsi"/>
        </w:rPr>
        <w:t xml:space="preserve"> un</w:t>
      </w:r>
      <w:r w:rsidR="00AB3C3F" w:rsidRPr="0054621D">
        <w:rPr>
          <w:rFonts w:cstheme="minorHAnsi"/>
        </w:rPr>
        <w:t>d überprüft nicht die von diesen</w:t>
      </w:r>
      <w:r w:rsidR="00B61464" w:rsidRPr="0054621D">
        <w:rPr>
          <w:rFonts w:cstheme="minorHAnsi"/>
        </w:rPr>
        <w:t xml:space="preserve"> zur Verfügung gestellten Informationen auf ihren Wahrheitsgehalt, ihre Vollständigkeit oder ihre Aktualität. </w:t>
      </w:r>
    </w:p>
    <w:p w14:paraId="54647CD6" w14:textId="31E078D7" w:rsidR="006B4B2A" w:rsidRPr="0054621D" w:rsidRDefault="006B4B2A" w:rsidP="00FF6D7F">
      <w:pPr>
        <w:pStyle w:val="ListParagraph"/>
        <w:keepNext/>
        <w:numPr>
          <w:ilvl w:val="0"/>
          <w:numId w:val="8"/>
        </w:numPr>
        <w:spacing w:after="240"/>
        <w:ind w:hanging="720"/>
        <w:contextualSpacing w:val="0"/>
        <w:jc w:val="both"/>
        <w:rPr>
          <w:rFonts w:cstheme="minorHAnsi"/>
          <w:b/>
        </w:rPr>
      </w:pPr>
      <w:r w:rsidRPr="0054621D">
        <w:rPr>
          <w:rFonts w:cstheme="minorHAnsi"/>
          <w:b/>
        </w:rPr>
        <w:t>Tätigkeitsprofil des Plattformbetreibers</w:t>
      </w:r>
    </w:p>
    <w:p w14:paraId="2E160405" w14:textId="129D9692" w:rsidR="006B4B2A" w:rsidRPr="0054621D" w:rsidRDefault="006B4B2A" w:rsidP="00474DB2">
      <w:pPr>
        <w:spacing w:after="240"/>
        <w:jc w:val="both"/>
        <w:rPr>
          <w:rFonts w:cstheme="minorHAnsi"/>
        </w:rPr>
      </w:pPr>
      <w:r w:rsidRPr="0054621D">
        <w:rPr>
          <w:rFonts w:cstheme="minorHAnsi"/>
          <w:b/>
        </w:rPr>
        <w:t xml:space="preserve">Der Plattformbetreiber übt keine Beratungstätigkeit aus und erbringt keine Beratungsleistungen. </w:t>
      </w:r>
      <w:r w:rsidRPr="0054621D">
        <w:rPr>
          <w:rFonts w:cstheme="minorHAnsi"/>
        </w:rPr>
        <w:t xml:space="preserve">Insbesondere werden keine Finanzierungs- und/oder Anlageberatung sowie keine steuerliche und/oder rechtliche Beratung erbracht. Der Plattformbetreiber gibt </w:t>
      </w:r>
      <w:r w:rsidR="00CB5575" w:rsidRPr="0054621D">
        <w:rPr>
          <w:rFonts w:cstheme="minorHAnsi"/>
        </w:rPr>
        <w:t>Nachrangdarlehensgeber</w:t>
      </w:r>
      <w:r w:rsidR="00AF6266" w:rsidRPr="0054621D">
        <w:rPr>
          <w:rFonts w:cstheme="minorHAnsi"/>
        </w:rPr>
        <w:t xml:space="preserve">n </w:t>
      </w:r>
      <w:r w:rsidRPr="0054621D">
        <w:rPr>
          <w:rFonts w:cstheme="minorHAnsi"/>
        </w:rPr>
        <w:t xml:space="preserve">keine persönlichen Empfehlungen zum Erwerb von Finanzinstrumenten auf Grundlage einer Prüfung der persönlichen Umstände des jeweiligen </w:t>
      </w:r>
      <w:r w:rsidR="00CB5575" w:rsidRPr="0054621D">
        <w:rPr>
          <w:rFonts w:cstheme="minorHAnsi"/>
        </w:rPr>
        <w:t>Nachrangdarlehensgeber</w:t>
      </w:r>
      <w:r w:rsidRPr="0054621D">
        <w:rPr>
          <w:rFonts w:cstheme="minorHAnsi"/>
        </w:rPr>
        <w:t xml:space="preserve">s. Die persönlichen Umstände werden nur insoweit erfragt, wie dies im Rahmen der Anlagevermittlung gesetzlich vorgeschrieben ist, und lediglich mit dem Ziel, die gesetzlich vorgeschriebenen Hinweise zu erteilen, nicht aber mit dem Ziel, dem </w:t>
      </w:r>
      <w:r w:rsidR="00CB5575" w:rsidRPr="0054621D">
        <w:rPr>
          <w:rFonts w:cstheme="minorHAnsi"/>
        </w:rPr>
        <w:t>Nachrangdarlehensgeber</w:t>
      </w:r>
      <w:r w:rsidRPr="0054621D">
        <w:rPr>
          <w:rFonts w:cstheme="minorHAnsi"/>
        </w:rPr>
        <w:t xml:space="preserve"> eine persönliche Empfehlung zum Erwerb eines bestimmten Finanzinstruments auszusprechen.</w:t>
      </w:r>
    </w:p>
    <w:p w14:paraId="1DA50B56" w14:textId="77777777" w:rsidR="00DA1C3D" w:rsidRPr="0054621D" w:rsidRDefault="00DA1C3D" w:rsidP="00FF6D7F">
      <w:pPr>
        <w:pStyle w:val="ListParagraph"/>
        <w:keepNext/>
        <w:numPr>
          <w:ilvl w:val="0"/>
          <w:numId w:val="8"/>
        </w:numPr>
        <w:spacing w:after="240"/>
        <w:ind w:hanging="720"/>
        <w:contextualSpacing w:val="0"/>
        <w:jc w:val="both"/>
        <w:rPr>
          <w:rFonts w:cstheme="minorHAnsi"/>
          <w:b/>
        </w:rPr>
      </w:pPr>
      <w:r w:rsidRPr="0054621D">
        <w:rPr>
          <w:rFonts w:cstheme="minorHAnsi"/>
          <w:b/>
        </w:rPr>
        <w:t xml:space="preserve">Informationsgehalt der Projektbeschreibung </w:t>
      </w:r>
    </w:p>
    <w:p w14:paraId="5FB09BB6" w14:textId="5BBC57D4" w:rsidR="00BA5B43" w:rsidRPr="00B0068B" w:rsidRDefault="00422BCD" w:rsidP="00474DB2">
      <w:pPr>
        <w:spacing w:after="240"/>
        <w:jc w:val="both"/>
        <w:rPr>
          <w:rFonts w:cstheme="minorHAnsi"/>
        </w:rPr>
      </w:pPr>
      <w:r w:rsidRPr="0054621D">
        <w:rPr>
          <w:rFonts w:cstheme="minorHAnsi"/>
          <w:b/>
        </w:rPr>
        <w:t>Das Projektprofil</w:t>
      </w:r>
      <w:r w:rsidR="008F4AB2" w:rsidRPr="0054621D">
        <w:rPr>
          <w:rFonts w:cstheme="minorHAnsi"/>
          <w:b/>
        </w:rPr>
        <w:t xml:space="preserve"> </w:t>
      </w:r>
      <w:r w:rsidR="00BF7F28" w:rsidRPr="0054621D">
        <w:rPr>
          <w:rFonts w:cstheme="minorHAnsi"/>
          <w:b/>
        </w:rPr>
        <w:t xml:space="preserve">und die Projektbeschreibung auf der Plattform erheben nicht den Anspruch, alle Informationen zu enthalten, die für die Beurteilung der angebotenen Anlage erforderlich sind. </w:t>
      </w:r>
      <w:r w:rsidR="00CB5575" w:rsidRPr="0054621D">
        <w:rPr>
          <w:rFonts w:cstheme="minorHAnsi"/>
        </w:rPr>
        <w:t>Nachrangdarlehensgeber</w:t>
      </w:r>
      <w:r w:rsidR="00EF11E2" w:rsidRPr="0054621D">
        <w:rPr>
          <w:rFonts w:cstheme="minorHAnsi"/>
        </w:rPr>
        <w:t xml:space="preserve"> </w:t>
      </w:r>
      <w:r w:rsidR="007320AE" w:rsidRPr="0054621D">
        <w:rPr>
          <w:rFonts w:cstheme="minorHAnsi"/>
        </w:rPr>
        <w:t xml:space="preserve">sollten die Möglichkeit nutzen, dem Darlehensnehmer Fragen zu stellen, sich aus unabhängigen Quellen zu informieren und fachkundige Beratung einzuholen, wenn sie unsicher sind, ob sie den Darlehensvertrag abschließen sollten. </w:t>
      </w:r>
      <w:r w:rsidR="00BA5B43" w:rsidRPr="0054621D">
        <w:rPr>
          <w:rFonts w:cstheme="minorHAnsi"/>
        </w:rPr>
        <w:t xml:space="preserve">Da jeder </w:t>
      </w:r>
      <w:r w:rsidR="00CB5575" w:rsidRPr="0054621D">
        <w:rPr>
          <w:rFonts w:cstheme="minorHAnsi"/>
        </w:rPr>
        <w:t>Nachrangdarlehensgeber</w:t>
      </w:r>
      <w:r w:rsidR="00EF11E2" w:rsidRPr="0054621D">
        <w:rPr>
          <w:rFonts w:cstheme="minorHAnsi"/>
        </w:rPr>
        <w:t xml:space="preserve"> </w:t>
      </w:r>
      <w:r w:rsidR="00BA5B43" w:rsidRPr="0054621D">
        <w:rPr>
          <w:rFonts w:cstheme="minorHAnsi"/>
        </w:rPr>
        <w:t xml:space="preserve">mit seiner Darlehensvergabe persönliche Ziele verfolgen kann, sollten die Angaben und Annahmen des Darlehensnehmers </w:t>
      </w:r>
      <w:r w:rsidR="00B81C32" w:rsidRPr="0054621D">
        <w:rPr>
          <w:rFonts w:cstheme="minorHAnsi"/>
        </w:rPr>
        <w:t xml:space="preserve">und des Projektinhabers </w:t>
      </w:r>
      <w:r w:rsidR="00BA5B43" w:rsidRPr="0054621D">
        <w:rPr>
          <w:rFonts w:cstheme="minorHAnsi"/>
        </w:rPr>
        <w:t>unter Berücksi</w:t>
      </w:r>
      <w:r w:rsidR="00C824CA" w:rsidRPr="0054621D">
        <w:rPr>
          <w:rFonts w:cstheme="minorHAnsi"/>
        </w:rPr>
        <w:t>chtigung der individuellen Situ</w:t>
      </w:r>
      <w:r w:rsidR="00BA5B43" w:rsidRPr="0054621D">
        <w:rPr>
          <w:rFonts w:cstheme="minorHAnsi"/>
        </w:rPr>
        <w:t>ation sorgfältig geprüft werden.</w:t>
      </w:r>
      <w:r w:rsidR="00BA5B43" w:rsidRPr="00B0068B">
        <w:rPr>
          <w:rFonts w:cstheme="minorHAnsi"/>
        </w:rPr>
        <w:t xml:space="preserve"> </w:t>
      </w:r>
    </w:p>
    <w:sectPr w:rsidR="00BA5B43" w:rsidRPr="00B0068B" w:rsidSect="0025122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0987" w14:textId="77777777" w:rsidR="00DE034F" w:rsidRDefault="00DE034F" w:rsidP="007C59E8">
      <w:pPr>
        <w:spacing w:after="0" w:line="240" w:lineRule="auto"/>
      </w:pPr>
      <w:r>
        <w:separator/>
      </w:r>
    </w:p>
  </w:endnote>
  <w:endnote w:type="continuationSeparator" w:id="0">
    <w:p w14:paraId="0BBD9D09" w14:textId="77777777" w:rsidR="00DE034F" w:rsidRDefault="00DE034F" w:rsidP="007C59E8">
      <w:pPr>
        <w:spacing w:after="0" w:line="240" w:lineRule="auto"/>
      </w:pPr>
      <w:r>
        <w:continuationSeparator/>
      </w:r>
    </w:p>
  </w:endnote>
  <w:endnote w:type="continuationNotice" w:id="1">
    <w:p w14:paraId="5B3724AE" w14:textId="77777777" w:rsidR="00DE034F" w:rsidRDefault="00DE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95A1" w14:textId="4AA0B4E5" w:rsidR="007C59E8" w:rsidRPr="00474DB2" w:rsidRDefault="00AA0640" w:rsidP="00AA0640">
    <w:pPr>
      <w:pStyle w:val="Footer"/>
      <w:jc w:val="right"/>
      <w:rPr>
        <w:rFonts w:ascii="Arial" w:hAnsi="Arial" w:cs="Arial"/>
        <w:sz w:val="18"/>
        <w:szCs w:val="18"/>
      </w:rPr>
    </w:pPr>
    <w:r w:rsidRPr="00474DB2">
      <w:rPr>
        <w:rFonts w:ascii="Arial" w:hAnsi="Arial" w:cs="Arial"/>
        <w:sz w:val="18"/>
        <w:szCs w:val="18"/>
      </w:rPr>
      <w:t xml:space="preserve">Seite </w:t>
    </w:r>
    <w:r w:rsidR="00630455" w:rsidRPr="00474DB2">
      <w:rPr>
        <w:rFonts w:ascii="Arial" w:hAnsi="Arial" w:cs="Arial"/>
        <w:sz w:val="18"/>
        <w:szCs w:val="18"/>
      </w:rPr>
      <w:fldChar w:fldCharType="begin"/>
    </w:r>
    <w:r w:rsidR="00630455" w:rsidRPr="00474DB2">
      <w:rPr>
        <w:rFonts w:ascii="Arial" w:hAnsi="Arial" w:cs="Arial"/>
        <w:sz w:val="18"/>
        <w:szCs w:val="18"/>
      </w:rPr>
      <w:instrText xml:space="preserve"> PAGE   \* MERGEFORMAT </w:instrText>
    </w:r>
    <w:r w:rsidR="00630455" w:rsidRPr="00474DB2">
      <w:rPr>
        <w:rFonts w:ascii="Arial" w:hAnsi="Arial" w:cs="Arial"/>
        <w:sz w:val="18"/>
        <w:szCs w:val="18"/>
      </w:rPr>
      <w:fldChar w:fldCharType="separate"/>
    </w:r>
    <w:r w:rsidR="004C7ACA">
      <w:rPr>
        <w:rFonts w:ascii="Arial" w:hAnsi="Arial" w:cs="Arial"/>
        <w:noProof/>
        <w:sz w:val="18"/>
        <w:szCs w:val="18"/>
      </w:rPr>
      <w:t>1</w:t>
    </w:r>
    <w:r w:rsidR="00630455" w:rsidRPr="00474DB2">
      <w:rPr>
        <w:rFonts w:ascii="Arial" w:hAnsi="Arial" w:cs="Arial"/>
        <w:sz w:val="18"/>
        <w:szCs w:val="18"/>
      </w:rPr>
      <w:fldChar w:fldCharType="end"/>
    </w:r>
    <w:r w:rsidR="00630455" w:rsidRPr="00474DB2">
      <w:rPr>
        <w:rFonts w:ascii="Arial" w:hAnsi="Arial" w:cs="Arial"/>
        <w:sz w:val="18"/>
        <w:szCs w:val="18"/>
      </w:rPr>
      <w:t xml:space="preserve"> </w:t>
    </w:r>
    <w:r w:rsidRPr="00474DB2">
      <w:rPr>
        <w:rFonts w:ascii="Arial" w:hAnsi="Arial" w:cs="Arial"/>
        <w:sz w:val="18"/>
        <w:szCs w:val="18"/>
      </w:rPr>
      <w:t xml:space="preserve">von </w:t>
    </w:r>
    <w:r w:rsidR="00630455" w:rsidRPr="00474DB2">
      <w:rPr>
        <w:rFonts w:ascii="Arial" w:hAnsi="Arial" w:cs="Arial"/>
        <w:sz w:val="18"/>
        <w:szCs w:val="18"/>
      </w:rPr>
      <w:fldChar w:fldCharType="begin"/>
    </w:r>
    <w:r w:rsidR="00630455" w:rsidRPr="00474DB2">
      <w:rPr>
        <w:rFonts w:ascii="Arial" w:hAnsi="Arial" w:cs="Arial"/>
        <w:sz w:val="18"/>
        <w:szCs w:val="18"/>
      </w:rPr>
      <w:instrText xml:space="preserve"> NUMPAGES   \* MERGEFORMAT </w:instrText>
    </w:r>
    <w:r w:rsidR="00630455" w:rsidRPr="00474DB2">
      <w:rPr>
        <w:rFonts w:ascii="Arial" w:hAnsi="Arial" w:cs="Arial"/>
        <w:sz w:val="18"/>
        <w:szCs w:val="18"/>
      </w:rPr>
      <w:fldChar w:fldCharType="separate"/>
    </w:r>
    <w:r w:rsidR="004C7ACA">
      <w:rPr>
        <w:rFonts w:ascii="Arial" w:hAnsi="Arial" w:cs="Arial"/>
        <w:noProof/>
        <w:sz w:val="18"/>
        <w:szCs w:val="18"/>
      </w:rPr>
      <w:t>7</w:t>
    </w:r>
    <w:r w:rsidR="00630455" w:rsidRPr="00474DB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CB6D" w14:textId="77777777" w:rsidR="00DE034F" w:rsidRDefault="00DE034F" w:rsidP="007C59E8">
      <w:pPr>
        <w:spacing w:after="0" w:line="240" w:lineRule="auto"/>
      </w:pPr>
      <w:r>
        <w:separator/>
      </w:r>
    </w:p>
  </w:footnote>
  <w:footnote w:type="continuationSeparator" w:id="0">
    <w:p w14:paraId="03310F64" w14:textId="77777777" w:rsidR="00DE034F" w:rsidRDefault="00DE034F" w:rsidP="007C59E8">
      <w:pPr>
        <w:spacing w:after="0" w:line="240" w:lineRule="auto"/>
      </w:pPr>
      <w:r>
        <w:continuationSeparator/>
      </w:r>
    </w:p>
  </w:footnote>
  <w:footnote w:type="continuationNotice" w:id="1">
    <w:p w14:paraId="7BDFFE17" w14:textId="77777777" w:rsidR="00DE034F" w:rsidRDefault="00DE0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F00" w14:textId="3DE6BB16" w:rsidR="00AB1565" w:rsidRPr="00B0068B" w:rsidRDefault="00B74229" w:rsidP="00B74229">
    <w:pPr>
      <w:pStyle w:val="Header"/>
      <w:jc w:val="right"/>
      <w:rPr>
        <w:rFonts w:cstheme="minorHAnsi"/>
        <w:sz w:val="20"/>
        <w:szCs w:val="20"/>
      </w:rPr>
    </w:pPr>
    <w:r w:rsidRPr="00B0068B">
      <w:rPr>
        <w:rFonts w:cstheme="minorHAnsi"/>
        <w:sz w:val="20"/>
        <w:szCs w:val="20"/>
      </w:rPr>
      <w:t>Anlage 1</w:t>
    </w:r>
    <w:r w:rsidR="00493147" w:rsidRPr="00B0068B">
      <w:rPr>
        <w:rFonts w:cstheme="minorHAnsi"/>
        <w:sz w:val="20"/>
        <w:szCs w:val="20"/>
      </w:rPr>
      <w:t xml:space="preserve"> zu den Darlehensbedingungen</w:t>
    </w:r>
    <w:r w:rsidRPr="00B0068B">
      <w:rPr>
        <w:rFonts w:cstheme="minorHAnsi"/>
        <w:sz w:val="20"/>
        <w:szCs w:val="20"/>
      </w:rPr>
      <w:t xml:space="preserve"> </w:t>
    </w:r>
    <w:r w:rsidR="002513CA" w:rsidRPr="00B0068B">
      <w:rPr>
        <w:rFonts w:cstheme="minorHAnsi"/>
        <w:sz w:val="20"/>
        <w:szCs w:val="20"/>
      </w:rPr>
      <w:t>–</w:t>
    </w:r>
    <w:r w:rsidRPr="00B0068B">
      <w:rPr>
        <w:rFonts w:cstheme="minorHAnsi"/>
        <w:sz w:val="20"/>
        <w:szCs w:val="20"/>
      </w:rPr>
      <w:t xml:space="preserve"> Risikohinweise</w:t>
    </w:r>
  </w:p>
  <w:p w14:paraId="51B810F7" w14:textId="7C572E14" w:rsidR="002513CA" w:rsidRPr="00176AF1" w:rsidRDefault="00176AF1" w:rsidP="00176AF1">
    <w:pPr>
      <w:pStyle w:val="Header"/>
      <w:jc w:val="right"/>
      <w:rPr>
        <w:rFonts w:cstheme="minorHAnsi"/>
        <w:sz w:val="20"/>
        <w:szCs w:val="20"/>
      </w:rPr>
    </w:pPr>
    <w:r w:rsidRPr="00176AF1">
      <w:rPr>
        <w:rFonts w:cstheme="minorHAnsi"/>
        <w:sz w:val="20"/>
        <w:szCs w:val="20"/>
      </w:rPr>
      <w:t>Version 2022.0</w:t>
    </w:r>
    <w:r w:rsidR="007C3FDD">
      <w:rPr>
        <w:rFonts w:cstheme="minorHAns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036"/>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61817"/>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74980"/>
    <w:multiLevelType w:val="hybridMultilevel"/>
    <w:tmpl w:val="EFD8CAAC"/>
    <w:lvl w:ilvl="0" w:tplc="957C33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57707D"/>
    <w:multiLevelType w:val="hybridMultilevel"/>
    <w:tmpl w:val="DCA661D8"/>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B245FB"/>
    <w:multiLevelType w:val="hybridMultilevel"/>
    <w:tmpl w:val="BECA00F4"/>
    <w:lvl w:ilvl="0" w:tplc="C2B418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84BA0"/>
    <w:multiLevelType w:val="hybridMultilevel"/>
    <w:tmpl w:val="F37A3680"/>
    <w:lvl w:ilvl="0" w:tplc="0400B6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623FCC"/>
    <w:multiLevelType w:val="hybridMultilevel"/>
    <w:tmpl w:val="1C1CD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DE7728"/>
    <w:multiLevelType w:val="hybridMultilevel"/>
    <w:tmpl w:val="39D891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117FD5"/>
    <w:multiLevelType w:val="hybridMultilevel"/>
    <w:tmpl w:val="39D891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4269583">
    <w:abstractNumId w:val="6"/>
  </w:num>
  <w:num w:numId="2" w16cid:durableId="1265114754">
    <w:abstractNumId w:val="7"/>
  </w:num>
  <w:num w:numId="3" w16cid:durableId="1105929337">
    <w:abstractNumId w:val="8"/>
  </w:num>
  <w:num w:numId="4" w16cid:durableId="321396661">
    <w:abstractNumId w:val="2"/>
  </w:num>
  <w:num w:numId="5" w16cid:durableId="1515071524">
    <w:abstractNumId w:val="0"/>
  </w:num>
  <w:num w:numId="6" w16cid:durableId="2096507668">
    <w:abstractNumId w:val="1"/>
  </w:num>
  <w:num w:numId="7" w16cid:durableId="2070154294">
    <w:abstractNumId w:val="3"/>
  </w:num>
  <w:num w:numId="8" w16cid:durableId="1348363697">
    <w:abstractNumId w:val="5"/>
  </w:num>
  <w:num w:numId="9" w16cid:durableId="311562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FC"/>
    <w:rsid w:val="00004F77"/>
    <w:rsid w:val="000066D6"/>
    <w:rsid w:val="0000686B"/>
    <w:rsid w:val="00007FF5"/>
    <w:rsid w:val="00010B3C"/>
    <w:rsid w:val="00010D8A"/>
    <w:rsid w:val="00016ED9"/>
    <w:rsid w:val="00017444"/>
    <w:rsid w:val="000201DA"/>
    <w:rsid w:val="00020D5C"/>
    <w:rsid w:val="00025CD4"/>
    <w:rsid w:val="00025F46"/>
    <w:rsid w:val="00026648"/>
    <w:rsid w:val="00026747"/>
    <w:rsid w:val="00026C7A"/>
    <w:rsid w:val="00026D05"/>
    <w:rsid w:val="00027D38"/>
    <w:rsid w:val="00027FD4"/>
    <w:rsid w:val="000336D7"/>
    <w:rsid w:val="0003458C"/>
    <w:rsid w:val="00034B10"/>
    <w:rsid w:val="00036E65"/>
    <w:rsid w:val="0003726F"/>
    <w:rsid w:val="00037C3D"/>
    <w:rsid w:val="000430A3"/>
    <w:rsid w:val="000432C5"/>
    <w:rsid w:val="000440D5"/>
    <w:rsid w:val="0004447A"/>
    <w:rsid w:val="0004705B"/>
    <w:rsid w:val="000478CD"/>
    <w:rsid w:val="00050339"/>
    <w:rsid w:val="000529A5"/>
    <w:rsid w:val="000538DF"/>
    <w:rsid w:val="000549E0"/>
    <w:rsid w:val="00063089"/>
    <w:rsid w:val="0006545C"/>
    <w:rsid w:val="00065D1A"/>
    <w:rsid w:val="00066F76"/>
    <w:rsid w:val="00067D39"/>
    <w:rsid w:val="000707D6"/>
    <w:rsid w:val="0007213B"/>
    <w:rsid w:val="00072A18"/>
    <w:rsid w:val="000732EF"/>
    <w:rsid w:val="0007334F"/>
    <w:rsid w:val="00073B9D"/>
    <w:rsid w:val="000745D4"/>
    <w:rsid w:val="000748CD"/>
    <w:rsid w:val="00074BA3"/>
    <w:rsid w:val="00077356"/>
    <w:rsid w:val="00081A8D"/>
    <w:rsid w:val="00083904"/>
    <w:rsid w:val="00084999"/>
    <w:rsid w:val="00085C91"/>
    <w:rsid w:val="000872ED"/>
    <w:rsid w:val="00096ECA"/>
    <w:rsid w:val="000A12ED"/>
    <w:rsid w:val="000A1331"/>
    <w:rsid w:val="000A2A52"/>
    <w:rsid w:val="000A30D6"/>
    <w:rsid w:val="000A367C"/>
    <w:rsid w:val="000A57A1"/>
    <w:rsid w:val="000A6ADA"/>
    <w:rsid w:val="000B1CEA"/>
    <w:rsid w:val="000B3E3A"/>
    <w:rsid w:val="000B4242"/>
    <w:rsid w:val="000B43D3"/>
    <w:rsid w:val="000B66F4"/>
    <w:rsid w:val="000C4D49"/>
    <w:rsid w:val="000C5A64"/>
    <w:rsid w:val="000C787C"/>
    <w:rsid w:val="000C7E8B"/>
    <w:rsid w:val="000D3680"/>
    <w:rsid w:val="000D53F4"/>
    <w:rsid w:val="000E01BD"/>
    <w:rsid w:val="000E01FC"/>
    <w:rsid w:val="000E1414"/>
    <w:rsid w:val="000E460F"/>
    <w:rsid w:val="000E46E2"/>
    <w:rsid w:val="000E549B"/>
    <w:rsid w:val="000E59B4"/>
    <w:rsid w:val="000E5D9D"/>
    <w:rsid w:val="000E6B48"/>
    <w:rsid w:val="000E76BE"/>
    <w:rsid w:val="000F0319"/>
    <w:rsid w:val="000F182D"/>
    <w:rsid w:val="000F262A"/>
    <w:rsid w:val="000F3CFC"/>
    <w:rsid w:val="000F3D75"/>
    <w:rsid w:val="000F40B0"/>
    <w:rsid w:val="000F4FAE"/>
    <w:rsid w:val="000F7695"/>
    <w:rsid w:val="0010103F"/>
    <w:rsid w:val="0010180F"/>
    <w:rsid w:val="00102F84"/>
    <w:rsid w:val="00103D02"/>
    <w:rsid w:val="00105BBB"/>
    <w:rsid w:val="001065B6"/>
    <w:rsid w:val="00110A5A"/>
    <w:rsid w:val="001111D0"/>
    <w:rsid w:val="001133DD"/>
    <w:rsid w:val="00113E88"/>
    <w:rsid w:val="00116E38"/>
    <w:rsid w:val="0012072D"/>
    <w:rsid w:val="001225D6"/>
    <w:rsid w:val="00122C85"/>
    <w:rsid w:val="001235A8"/>
    <w:rsid w:val="00123FB3"/>
    <w:rsid w:val="00124E6D"/>
    <w:rsid w:val="0012764A"/>
    <w:rsid w:val="001312F4"/>
    <w:rsid w:val="0013297C"/>
    <w:rsid w:val="0013354B"/>
    <w:rsid w:val="00135246"/>
    <w:rsid w:val="00135788"/>
    <w:rsid w:val="00141252"/>
    <w:rsid w:val="001416AF"/>
    <w:rsid w:val="00142907"/>
    <w:rsid w:val="00143D23"/>
    <w:rsid w:val="00144C63"/>
    <w:rsid w:val="0014669F"/>
    <w:rsid w:val="00146CFD"/>
    <w:rsid w:val="0014762A"/>
    <w:rsid w:val="00147930"/>
    <w:rsid w:val="00147E80"/>
    <w:rsid w:val="00152813"/>
    <w:rsid w:val="0015390F"/>
    <w:rsid w:val="00156237"/>
    <w:rsid w:val="00157A43"/>
    <w:rsid w:val="001604C0"/>
    <w:rsid w:val="001607A9"/>
    <w:rsid w:val="0016231C"/>
    <w:rsid w:val="00163D2E"/>
    <w:rsid w:val="00165763"/>
    <w:rsid w:val="00167617"/>
    <w:rsid w:val="00171217"/>
    <w:rsid w:val="00172B58"/>
    <w:rsid w:val="001748A8"/>
    <w:rsid w:val="00174D6F"/>
    <w:rsid w:val="00176AF1"/>
    <w:rsid w:val="00176F09"/>
    <w:rsid w:val="00176F14"/>
    <w:rsid w:val="00176F3B"/>
    <w:rsid w:val="001777C8"/>
    <w:rsid w:val="00177E86"/>
    <w:rsid w:val="001808DC"/>
    <w:rsid w:val="0018208B"/>
    <w:rsid w:val="00182800"/>
    <w:rsid w:val="00183B05"/>
    <w:rsid w:val="00186AF1"/>
    <w:rsid w:val="00187CE3"/>
    <w:rsid w:val="00187E9F"/>
    <w:rsid w:val="00191D3C"/>
    <w:rsid w:val="00192695"/>
    <w:rsid w:val="00193120"/>
    <w:rsid w:val="0019489E"/>
    <w:rsid w:val="00195EDB"/>
    <w:rsid w:val="001963AB"/>
    <w:rsid w:val="00197759"/>
    <w:rsid w:val="001A057E"/>
    <w:rsid w:val="001A0873"/>
    <w:rsid w:val="001A2177"/>
    <w:rsid w:val="001A3876"/>
    <w:rsid w:val="001A5EA6"/>
    <w:rsid w:val="001B2879"/>
    <w:rsid w:val="001B2CFF"/>
    <w:rsid w:val="001B3D69"/>
    <w:rsid w:val="001B6EA3"/>
    <w:rsid w:val="001C20E2"/>
    <w:rsid w:val="001C338F"/>
    <w:rsid w:val="001C4F61"/>
    <w:rsid w:val="001C542C"/>
    <w:rsid w:val="001D02F6"/>
    <w:rsid w:val="001D1502"/>
    <w:rsid w:val="001D23EA"/>
    <w:rsid w:val="001D4203"/>
    <w:rsid w:val="001D4894"/>
    <w:rsid w:val="001D4C0A"/>
    <w:rsid w:val="001D4DCF"/>
    <w:rsid w:val="001D5C5E"/>
    <w:rsid w:val="001E0741"/>
    <w:rsid w:val="001E164D"/>
    <w:rsid w:val="001E22F3"/>
    <w:rsid w:val="001E23E4"/>
    <w:rsid w:val="001E3CD5"/>
    <w:rsid w:val="001E5365"/>
    <w:rsid w:val="001E54FF"/>
    <w:rsid w:val="001E5E6A"/>
    <w:rsid w:val="001E6813"/>
    <w:rsid w:val="001E79FF"/>
    <w:rsid w:val="001F0172"/>
    <w:rsid w:val="001F1A53"/>
    <w:rsid w:val="001F1C1C"/>
    <w:rsid w:val="001F2487"/>
    <w:rsid w:val="001F3287"/>
    <w:rsid w:val="001F6803"/>
    <w:rsid w:val="001F729F"/>
    <w:rsid w:val="002000A2"/>
    <w:rsid w:val="00201547"/>
    <w:rsid w:val="00201D78"/>
    <w:rsid w:val="00202F11"/>
    <w:rsid w:val="002039BB"/>
    <w:rsid w:val="00206AFB"/>
    <w:rsid w:val="00207136"/>
    <w:rsid w:val="0021231F"/>
    <w:rsid w:val="00213B8F"/>
    <w:rsid w:val="00213C66"/>
    <w:rsid w:val="0021413C"/>
    <w:rsid w:val="00216A36"/>
    <w:rsid w:val="002173DE"/>
    <w:rsid w:val="00217B6F"/>
    <w:rsid w:val="002213CA"/>
    <w:rsid w:val="002224ED"/>
    <w:rsid w:val="00224138"/>
    <w:rsid w:val="00226A08"/>
    <w:rsid w:val="00230CC8"/>
    <w:rsid w:val="00231EBB"/>
    <w:rsid w:val="00232636"/>
    <w:rsid w:val="0023360A"/>
    <w:rsid w:val="00234558"/>
    <w:rsid w:val="00235984"/>
    <w:rsid w:val="00236417"/>
    <w:rsid w:val="00236DB2"/>
    <w:rsid w:val="0023700E"/>
    <w:rsid w:val="002372AB"/>
    <w:rsid w:val="00241257"/>
    <w:rsid w:val="0024272F"/>
    <w:rsid w:val="0024372F"/>
    <w:rsid w:val="00243798"/>
    <w:rsid w:val="00244B86"/>
    <w:rsid w:val="00251227"/>
    <w:rsid w:val="002513CA"/>
    <w:rsid w:val="00251445"/>
    <w:rsid w:val="002515B7"/>
    <w:rsid w:val="00254AAB"/>
    <w:rsid w:val="002553E6"/>
    <w:rsid w:val="00255EC3"/>
    <w:rsid w:val="002577AF"/>
    <w:rsid w:val="00257EF0"/>
    <w:rsid w:val="002604B1"/>
    <w:rsid w:val="002631A9"/>
    <w:rsid w:val="002639C2"/>
    <w:rsid w:val="00263E8B"/>
    <w:rsid w:val="002700AB"/>
    <w:rsid w:val="00270FC1"/>
    <w:rsid w:val="0027324A"/>
    <w:rsid w:val="002739DD"/>
    <w:rsid w:val="002754DF"/>
    <w:rsid w:val="002769B2"/>
    <w:rsid w:val="00280599"/>
    <w:rsid w:val="0028104D"/>
    <w:rsid w:val="00281295"/>
    <w:rsid w:val="0028196A"/>
    <w:rsid w:val="00283CBA"/>
    <w:rsid w:val="002878F6"/>
    <w:rsid w:val="0029123A"/>
    <w:rsid w:val="00291545"/>
    <w:rsid w:val="002957E6"/>
    <w:rsid w:val="002958CA"/>
    <w:rsid w:val="002A0AEE"/>
    <w:rsid w:val="002A0B8E"/>
    <w:rsid w:val="002A1C5F"/>
    <w:rsid w:val="002A2409"/>
    <w:rsid w:val="002B074F"/>
    <w:rsid w:val="002B1505"/>
    <w:rsid w:val="002B6CF5"/>
    <w:rsid w:val="002B7290"/>
    <w:rsid w:val="002B7349"/>
    <w:rsid w:val="002B7C1F"/>
    <w:rsid w:val="002C0872"/>
    <w:rsid w:val="002C0995"/>
    <w:rsid w:val="002C0CBB"/>
    <w:rsid w:val="002C16F9"/>
    <w:rsid w:val="002C2281"/>
    <w:rsid w:val="002C3154"/>
    <w:rsid w:val="002C3358"/>
    <w:rsid w:val="002C5C52"/>
    <w:rsid w:val="002C5DDA"/>
    <w:rsid w:val="002C636A"/>
    <w:rsid w:val="002C7E89"/>
    <w:rsid w:val="002D2C70"/>
    <w:rsid w:val="002D3DD9"/>
    <w:rsid w:val="002D42D5"/>
    <w:rsid w:val="002D51CF"/>
    <w:rsid w:val="002E215E"/>
    <w:rsid w:val="002E23FB"/>
    <w:rsid w:val="002E258F"/>
    <w:rsid w:val="002E5EF5"/>
    <w:rsid w:val="002E690D"/>
    <w:rsid w:val="002E7D37"/>
    <w:rsid w:val="002F0568"/>
    <w:rsid w:val="002F0CD9"/>
    <w:rsid w:val="002F1BBC"/>
    <w:rsid w:val="002F1D12"/>
    <w:rsid w:val="002F24A2"/>
    <w:rsid w:val="002F3107"/>
    <w:rsid w:val="002F3D18"/>
    <w:rsid w:val="002F4299"/>
    <w:rsid w:val="00300066"/>
    <w:rsid w:val="00300A18"/>
    <w:rsid w:val="00302057"/>
    <w:rsid w:val="00303190"/>
    <w:rsid w:val="003031FB"/>
    <w:rsid w:val="00305DAA"/>
    <w:rsid w:val="003061B9"/>
    <w:rsid w:val="003072BC"/>
    <w:rsid w:val="003112E4"/>
    <w:rsid w:val="0031179F"/>
    <w:rsid w:val="0031240D"/>
    <w:rsid w:val="0031394F"/>
    <w:rsid w:val="00313AC5"/>
    <w:rsid w:val="003151EA"/>
    <w:rsid w:val="00322808"/>
    <w:rsid w:val="00322B07"/>
    <w:rsid w:val="00323982"/>
    <w:rsid w:val="00324566"/>
    <w:rsid w:val="003270BB"/>
    <w:rsid w:val="0032758D"/>
    <w:rsid w:val="003306A6"/>
    <w:rsid w:val="00333176"/>
    <w:rsid w:val="003403BD"/>
    <w:rsid w:val="0034061A"/>
    <w:rsid w:val="00342737"/>
    <w:rsid w:val="0034351B"/>
    <w:rsid w:val="003478A7"/>
    <w:rsid w:val="00347BD6"/>
    <w:rsid w:val="003510CB"/>
    <w:rsid w:val="003515E3"/>
    <w:rsid w:val="00352836"/>
    <w:rsid w:val="0035323D"/>
    <w:rsid w:val="003532A2"/>
    <w:rsid w:val="00353BA8"/>
    <w:rsid w:val="003554BE"/>
    <w:rsid w:val="00356133"/>
    <w:rsid w:val="00357A86"/>
    <w:rsid w:val="00360A3B"/>
    <w:rsid w:val="00361E66"/>
    <w:rsid w:val="00363496"/>
    <w:rsid w:val="0036735A"/>
    <w:rsid w:val="00370D0D"/>
    <w:rsid w:val="00370EED"/>
    <w:rsid w:val="00373BDF"/>
    <w:rsid w:val="00375017"/>
    <w:rsid w:val="00375F60"/>
    <w:rsid w:val="00381BB2"/>
    <w:rsid w:val="003849E0"/>
    <w:rsid w:val="00387858"/>
    <w:rsid w:val="00393031"/>
    <w:rsid w:val="00393B5C"/>
    <w:rsid w:val="00393B63"/>
    <w:rsid w:val="0039420E"/>
    <w:rsid w:val="003952C2"/>
    <w:rsid w:val="003957EC"/>
    <w:rsid w:val="0039662F"/>
    <w:rsid w:val="00396646"/>
    <w:rsid w:val="00396C95"/>
    <w:rsid w:val="003A05D5"/>
    <w:rsid w:val="003A0EF7"/>
    <w:rsid w:val="003A1747"/>
    <w:rsid w:val="003A1A05"/>
    <w:rsid w:val="003A23EE"/>
    <w:rsid w:val="003A4884"/>
    <w:rsid w:val="003A6F9D"/>
    <w:rsid w:val="003B0C66"/>
    <w:rsid w:val="003B0DFC"/>
    <w:rsid w:val="003B1EE3"/>
    <w:rsid w:val="003B22DF"/>
    <w:rsid w:val="003B2463"/>
    <w:rsid w:val="003B2AF8"/>
    <w:rsid w:val="003C0A35"/>
    <w:rsid w:val="003C201A"/>
    <w:rsid w:val="003C303D"/>
    <w:rsid w:val="003C4B28"/>
    <w:rsid w:val="003C522E"/>
    <w:rsid w:val="003C68E6"/>
    <w:rsid w:val="003D0FDD"/>
    <w:rsid w:val="003D1063"/>
    <w:rsid w:val="003D1DC5"/>
    <w:rsid w:val="003D20F2"/>
    <w:rsid w:val="003D22BB"/>
    <w:rsid w:val="003D29FD"/>
    <w:rsid w:val="003D3398"/>
    <w:rsid w:val="003D6CBE"/>
    <w:rsid w:val="003D6D7D"/>
    <w:rsid w:val="003D744A"/>
    <w:rsid w:val="003D7B80"/>
    <w:rsid w:val="003E4567"/>
    <w:rsid w:val="003E4EC6"/>
    <w:rsid w:val="003E50AF"/>
    <w:rsid w:val="003E6641"/>
    <w:rsid w:val="003E71C2"/>
    <w:rsid w:val="003E772E"/>
    <w:rsid w:val="003F02CA"/>
    <w:rsid w:val="003F1A6C"/>
    <w:rsid w:val="003F2619"/>
    <w:rsid w:val="003F314E"/>
    <w:rsid w:val="003F3A7E"/>
    <w:rsid w:val="003F4B0D"/>
    <w:rsid w:val="00402311"/>
    <w:rsid w:val="00402525"/>
    <w:rsid w:val="004026E0"/>
    <w:rsid w:val="004046D8"/>
    <w:rsid w:val="00405A64"/>
    <w:rsid w:val="004108B2"/>
    <w:rsid w:val="00410F36"/>
    <w:rsid w:val="00415728"/>
    <w:rsid w:val="004211D2"/>
    <w:rsid w:val="004219CD"/>
    <w:rsid w:val="00422BCD"/>
    <w:rsid w:val="004257F1"/>
    <w:rsid w:val="00425FD3"/>
    <w:rsid w:val="004273B2"/>
    <w:rsid w:val="004301DA"/>
    <w:rsid w:val="004305C6"/>
    <w:rsid w:val="00434B20"/>
    <w:rsid w:val="00437424"/>
    <w:rsid w:val="004411E7"/>
    <w:rsid w:val="00441494"/>
    <w:rsid w:val="004433B1"/>
    <w:rsid w:val="00444252"/>
    <w:rsid w:val="0044440C"/>
    <w:rsid w:val="0044472F"/>
    <w:rsid w:val="00445B4C"/>
    <w:rsid w:val="00446FFA"/>
    <w:rsid w:val="00450D57"/>
    <w:rsid w:val="00451EF7"/>
    <w:rsid w:val="0045496D"/>
    <w:rsid w:val="00454A7E"/>
    <w:rsid w:val="00456C49"/>
    <w:rsid w:val="00457898"/>
    <w:rsid w:val="00461426"/>
    <w:rsid w:val="00462D48"/>
    <w:rsid w:val="00463D13"/>
    <w:rsid w:val="00464C9B"/>
    <w:rsid w:val="00465725"/>
    <w:rsid w:val="0046713F"/>
    <w:rsid w:val="00470E9B"/>
    <w:rsid w:val="004717DD"/>
    <w:rsid w:val="00471DB6"/>
    <w:rsid w:val="00473338"/>
    <w:rsid w:val="00474974"/>
    <w:rsid w:val="0047497C"/>
    <w:rsid w:val="00474A12"/>
    <w:rsid w:val="00474DB2"/>
    <w:rsid w:val="004759C1"/>
    <w:rsid w:val="00476019"/>
    <w:rsid w:val="004772E2"/>
    <w:rsid w:val="00477CF2"/>
    <w:rsid w:val="00480E6A"/>
    <w:rsid w:val="0048140B"/>
    <w:rsid w:val="0048201F"/>
    <w:rsid w:val="00482CDE"/>
    <w:rsid w:val="00482E21"/>
    <w:rsid w:val="00482F9C"/>
    <w:rsid w:val="0048458F"/>
    <w:rsid w:val="00484FF6"/>
    <w:rsid w:val="00485CF3"/>
    <w:rsid w:val="00487BF5"/>
    <w:rsid w:val="00487F9B"/>
    <w:rsid w:val="00493147"/>
    <w:rsid w:val="00495B08"/>
    <w:rsid w:val="00496C96"/>
    <w:rsid w:val="004A17A8"/>
    <w:rsid w:val="004A4C03"/>
    <w:rsid w:val="004A4CA9"/>
    <w:rsid w:val="004A5504"/>
    <w:rsid w:val="004A7F94"/>
    <w:rsid w:val="004B09A5"/>
    <w:rsid w:val="004B0D1E"/>
    <w:rsid w:val="004B13EC"/>
    <w:rsid w:val="004B224B"/>
    <w:rsid w:val="004B41E3"/>
    <w:rsid w:val="004B43C0"/>
    <w:rsid w:val="004B5B58"/>
    <w:rsid w:val="004B5F01"/>
    <w:rsid w:val="004B7C6F"/>
    <w:rsid w:val="004C0C1D"/>
    <w:rsid w:val="004C264F"/>
    <w:rsid w:val="004C51C6"/>
    <w:rsid w:val="004C5FE9"/>
    <w:rsid w:val="004C7ACA"/>
    <w:rsid w:val="004D04DC"/>
    <w:rsid w:val="004D1699"/>
    <w:rsid w:val="004D1FA8"/>
    <w:rsid w:val="004D3232"/>
    <w:rsid w:val="004D3EAF"/>
    <w:rsid w:val="004D56BA"/>
    <w:rsid w:val="004D5748"/>
    <w:rsid w:val="004D6EC3"/>
    <w:rsid w:val="004E0CDC"/>
    <w:rsid w:val="004E0EA6"/>
    <w:rsid w:val="004E12AB"/>
    <w:rsid w:val="004E148A"/>
    <w:rsid w:val="004E1EA6"/>
    <w:rsid w:val="004E1F5F"/>
    <w:rsid w:val="004E21F5"/>
    <w:rsid w:val="004E4FB8"/>
    <w:rsid w:val="004E529E"/>
    <w:rsid w:val="004F3C08"/>
    <w:rsid w:val="004F55F1"/>
    <w:rsid w:val="004F623D"/>
    <w:rsid w:val="004F7B9D"/>
    <w:rsid w:val="00500477"/>
    <w:rsid w:val="00500F59"/>
    <w:rsid w:val="005010B8"/>
    <w:rsid w:val="005015DD"/>
    <w:rsid w:val="005015E6"/>
    <w:rsid w:val="00503F54"/>
    <w:rsid w:val="005040E6"/>
    <w:rsid w:val="005060CA"/>
    <w:rsid w:val="00513DB0"/>
    <w:rsid w:val="00514805"/>
    <w:rsid w:val="00514CAC"/>
    <w:rsid w:val="00517C8C"/>
    <w:rsid w:val="00521998"/>
    <w:rsid w:val="0052337D"/>
    <w:rsid w:val="005279B1"/>
    <w:rsid w:val="00531B2A"/>
    <w:rsid w:val="00533C44"/>
    <w:rsid w:val="005342E1"/>
    <w:rsid w:val="0053592D"/>
    <w:rsid w:val="00537A61"/>
    <w:rsid w:val="00540083"/>
    <w:rsid w:val="005401B9"/>
    <w:rsid w:val="00542492"/>
    <w:rsid w:val="005439A5"/>
    <w:rsid w:val="00544F09"/>
    <w:rsid w:val="00544F6F"/>
    <w:rsid w:val="00545825"/>
    <w:rsid w:val="0054621D"/>
    <w:rsid w:val="005468DA"/>
    <w:rsid w:val="00547091"/>
    <w:rsid w:val="00547F86"/>
    <w:rsid w:val="00550428"/>
    <w:rsid w:val="00551661"/>
    <w:rsid w:val="005520E8"/>
    <w:rsid w:val="0055228C"/>
    <w:rsid w:val="005546C4"/>
    <w:rsid w:val="005555E8"/>
    <w:rsid w:val="005567FC"/>
    <w:rsid w:val="00556A07"/>
    <w:rsid w:val="00556EF2"/>
    <w:rsid w:val="005575F1"/>
    <w:rsid w:val="00561D4D"/>
    <w:rsid w:val="00564BE1"/>
    <w:rsid w:val="00566E08"/>
    <w:rsid w:val="0057014A"/>
    <w:rsid w:val="005712A2"/>
    <w:rsid w:val="00572B74"/>
    <w:rsid w:val="00573C1E"/>
    <w:rsid w:val="00573E08"/>
    <w:rsid w:val="00574427"/>
    <w:rsid w:val="00575761"/>
    <w:rsid w:val="00576CBD"/>
    <w:rsid w:val="00576D19"/>
    <w:rsid w:val="0057758D"/>
    <w:rsid w:val="00580E54"/>
    <w:rsid w:val="00581010"/>
    <w:rsid w:val="00581079"/>
    <w:rsid w:val="00582FBC"/>
    <w:rsid w:val="00584389"/>
    <w:rsid w:val="00586A37"/>
    <w:rsid w:val="005901B3"/>
    <w:rsid w:val="00591793"/>
    <w:rsid w:val="00591A3C"/>
    <w:rsid w:val="00591C09"/>
    <w:rsid w:val="00591FC5"/>
    <w:rsid w:val="00593B7E"/>
    <w:rsid w:val="00595955"/>
    <w:rsid w:val="00596CF5"/>
    <w:rsid w:val="0059716E"/>
    <w:rsid w:val="005A3F84"/>
    <w:rsid w:val="005A3F85"/>
    <w:rsid w:val="005A71C2"/>
    <w:rsid w:val="005B0170"/>
    <w:rsid w:val="005B0484"/>
    <w:rsid w:val="005B05DD"/>
    <w:rsid w:val="005B0CB2"/>
    <w:rsid w:val="005B1555"/>
    <w:rsid w:val="005B1C37"/>
    <w:rsid w:val="005B3DE2"/>
    <w:rsid w:val="005B44C5"/>
    <w:rsid w:val="005B4A09"/>
    <w:rsid w:val="005B56BF"/>
    <w:rsid w:val="005B5B84"/>
    <w:rsid w:val="005B5E9A"/>
    <w:rsid w:val="005C05D3"/>
    <w:rsid w:val="005C16CA"/>
    <w:rsid w:val="005C25E6"/>
    <w:rsid w:val="005C27D4"/>
    <w:rsid w:val="005C3A93"/>
    <w:rsid w:val="005C7D1E"/>
    <w:rsid w:val="005D1622"/>
    <w:rsid w:val="005D276C"/>
    <w:rsid w:val="005D2E1E"/>
    <w:rsid w:val="005D4AF5"/>
    <w:rsid w:val="005D5AEA"/>
    <w:rsid w:val="005D6508"/>
    <w:rsid w:val="005D6957"/>
    <w:rsid w:val="005D7D03"/>
    <w:rsid w:val="005E093C"/>
    <w:rsid w:val="005E35DA"/>
    <w:rsid w:val="005E3B54"/>
    <w:rsid w:val="005E3B70"/>
    <w:rsid w:val="005E4F7C"/>
    <w:rsid w:val="005E6B01"/>
    <w:rsid w:val="005E75E3"/>
    <w:rsid w:val="005E7DAE"/>
    <w:rsid w:val="005F05BE"/>
    <w:rsid w:val="005F3F8C"/>
    <w:rsid w:val="005F4252"/>
    <w:rsid w:val="005F4FFC"/>
    <w:rsid w:val="005F5994"/>
    <w:rsid w:val="005F6C62"/>
    <w:rsid w:val="0060046D"/>
    <w:rsid w:val="00604AED"/>
    <w:rsid w:val="00604B4F"/>
    <w:rsid w:val="00605149"/>
    <w:rsid w:val="00605AE6"/>
    <w:rsid w:val="00606AF9"/>
    <w:rsid w:val="0061308C"/>
    <w:rsid w:val="00614673"/>
    <w:rsid w:val="00615985"/>
    <w:rsid w:val="006167A9"/>
    <w:rsid w:val="006173EB"/>
    <w:rsid w:val="00621B49"/>
    <w:rsid w:val="00623835"/>
    <w:rsid w:val="006239C5"/>
    <w:rsid w:val="00624342"/>
    <w:rsid w:val="0062438B"/>
    <w:rsid w:val="00625EAD"/>
    <w:rsid w:val="00625F2B"/>
    <w:rsid w:val="00626B36"/>
    <w:rsid w:val="006273DA"/>
    <w:rsid w:val="00630455"/>
    <w:rsid w:val="0063216A"/>
    <w:rsid w:val="00632361"/>
    <w:rsid w:val="00632767"/>
    <w:rsid w:val="00633523"/>
    <w:rsid w:val="00633525"/>
    <w:rsid w:val="00633BA1"/>
    <w:rsid w:val="006341A5"/>
    <w:rsid w:val="00636D1F"/>
    <w:rsid w:val="00636DA5"/>
    <w:rsid w:val="00636E46"/>
    <w:rsid w:val="006403AF"/>
    <w:rsid w:val="006410B9"/>
    <w:rsid w:val="00642046"/>
    <w:rsid w:val="006421FB"/>
    <w:rsid w:val="00642667"/>
    <w:rsid w:val="00644FE0"/>
    <w:rsid w:val="00645327"/>
    <w:rsid w:val="00650012"/>
    <w:rsid w:val="0065153A"/>
    <w:rsid w:val="00652E98"/>
    <w:rsid w:val="006556ED"/>
    <w:rsid w:val="00657ABB"/>
    <w:rsid w:val="00657FDD"/>
    <w:rsid w:val="00660C5B"/>
    <w:rsid w:val="00661402"/>
    <w:rsid w:val="006632F3"/>
    <w:rsid w:val="006667DE"/>
    <w:rsid w:val="0066689F"/>
    <w:rsid w:val="00670E50"/>
    <w:rsid w:val="006724B0"/>
    <w:rsid w:val="0067399A"/>
    <w:rsid w:val="00677CE9"/>
    <w:rsid w:val="006805F4"/>
    <w:rsid w:val="00685AE2"/>
    <w:rsid w:val="00687F79"/>
    <w:rsid w:val="00690047"/>
    <w:rsid w:val="006918D0"/>
    <w:rsid w:val="00693372"/>
    <w:rsid w:val="00693A49"/>
    <w:rsid w:val="006974B8"/>
    <w:rsid w:val="006A2938"/>
    <w:rsid w:val="006A4380"/>
    <w:rsid w:val="006B37EF"/>
    <w:rsid w:val="006B3C15"/>
    <w:rsid w:val="006B3EA0"/>
    <w:rsid w:val="006B4A31"/>
    <w:rsid w:val="006B4A8E"/>
    <w:rsid w:val="006B4B2A"/>
    <w:rsid w:val="006B6BC6"/>
    <w:rsid w:val="006B7A38"/>
    <w:rsid w:val="006C026A"/>
    <w:rsid w:val="006C36C0"/>
    <w:rsid w:val="006C47AE"/>
    <w:rsid w:val="006C4AFF"/>
    <w:rsid w:val="006C6000"/>
    <w:rsid w:val="006C6A1B"/>
    <w:rsid w:val="006C73D3"/>
    <w:rsid w:val="006D09CB"/>
    <w:rsid w:val="006D1778"/>
    <w:rsid w:val="006D1B83"/>
    <w:rsid w:val="006D1CED"/>
    <w:rsid w:val="006D2ABC"/>
    <w:rsid w:val="006D2BDD"/>
    <w:rsid w:val="006D3BB5"/>
    <w:rsid w:val="006D4866"/>
    <w:rsid w:val="006D4D6E"/>
    <w:rsid w:val="006D7BA7"/>
    <w:rsid w:val="006D7CA1"/>
    <w:rsid w:val="006E1197"/>
    <w:rsid w:val="006E22FC"/>
    <w:rsid w:val="006E4A9C"/>
    <w:rsid w:val="006E7D3F"/>
    <w:rsid w:val="006E7F60"/>
    <w:rsid w:val="006F05B7"/>
    <w:rsid w:val="006F1090"/>
    <w:rsid w:val="006F35DD"/>
    <w:rsid w:val="006F5182"/>
    <w:rsid w:val="006F5849"/>
    <w:rsid w:val="006F5BBF"/>
    <w:rsid w:val="006F624D"/>
    <w:rsid w:val="00700A67"/>
    <w:rsid w:val="00701859"/>
    <w:rsid w:val="00702918"/>
    <w:rsid w:val="00703968"/>
    <w:rsid w:val="00703E66"/>
    <w:rsid w:val="00705FA5"/>
    <w:rsid w:val="007107B0"/>
    <w:rsid w:val="00711F03"/>
    <w:rsid w:val="00714D21"/>
    <w:rsid w:val="0072070A"/>
    <w:rsid w:val="00722280"/>
    <w:rsid w:val="00722363"/>
    <w:rsid w:val="007224CC"/>
    <w:rsid w:val="00723065"/>
    <w:rsid w:val="00723518"/>
    <w:rsid w:val="00723B28"/>
    <w:rsid w:val="00724584"/>
    <w:rsid w:val="0072629A"/>
    <w:rsid w:val="007307BE"/>
    <w:rsid w:val="00730981"/>
    <w:rsid w:val="00731AD3"/>
    <w:rsid w:val="007320AE"/>
    <w:rsid w:val="00733162"/>
    <w:rsid w:val="00733A13"/>
    <w:rsid w:val="00735C6A"/>
    <w:rsid w:val="00736260"/>
    <w:rsid w:val="00737852"/>
    <w:rsid w:val="00737C36"/>
    <w:rsid w:val="0074014F"/>
    <w:rsid w:val="007466F0"/>
    <w:rsid w:val="00746D04"/>
    <w:rsid w:val="00747FEA"/>
    <w:rsid w:val="00751551"/>
    <w:rsid w:val="0075187A"/>
    <w:rsid w:val="00753A9B"/>
    <w:rsid w:val="00753D84"/>
    <w:rsid w:val="007542C0"/>
    <w:rsid w:val="00756FBB"/>
    <w:rsid w:val="00757396"/>
    <w:rsid w:val="007575E6"/>
    <w:rsid w:val="00757FD0"/>
    <w:rsid w:val="00760609"/>
    <w:rsid w:val="00760F6F"/>
    <w:rsid w:val="007615AD"/>
    <w:rsid w:val="00770E44"/>
    <w:rsid w:val="007726D7"/>
    <w:rsid w:val="00773748"/>
    <w:rsid w:val="00776529"/>
    <w:rsid w:val="00776807"/>
    <w:rsid w:val="0077742F"/>
    <w:rsid w:val="00780597"/>
    <w:rsid w:val="00780886"/>
    <w:rsid w:val="00781C2A"/>
    <w:rsid w:val="00781D8B"/>
    <w:rsid w:val="00781E10"/>
    <w:rsid w:val="00782299"/>
    <w:rsid w:val="0078251D"/>
    <w:rsid w:val="00782934"/>
    <w:rsid w:val="0078670F"/>
    <w:rsid w:val="00787045"/>
    <w:rsid w:val="007904F3"/>
    <w:rsid w:val="00790858"/>
    <w:rsid w:val="00792932"/>
    <w:rsid w:val="00793F25"/>
    <w:rsid w:val="007943FD"/>
    <w:rsid w:val="00794B78"/>
    <w:rsid w:val="00795840"/>
    <w:rsid w:val="00796F45"/>
    <w:rsid w:val="007A3F83"/>
    <w:rsid w:val="007A724F"/>
    <w:rsid w:val="007B0F0B"/>
    <w:rsid w:val="007B17C4"/>
    <w:rsid w:val="007B36BD"/>
    <w:rsid w:val="007B385E"/>
    <w:rsid w:val="007B4348"/>
    <w:rsid w:val="007B4537"/>
    <w:rsid w:val="007B4E7F"/>
    <w:rsid w:val="007B6523"/>
    <w:rsid w:val="007B6FBB"/>
    <w:rsid w:val="007C1122"/>
    <w:rsid w:val="007C1324"/>
    <w:rsid w:val="007C1884"/>
    <w:rsid w:val="007C3FDD"/>
    <w:rsid w:val="007C4B56"/>
    <w:rsid w:val="007C59E8"/>
    <w:rsid w:val="007D501B"/>
    <w:rsid w:val="007D6934"/>
    <w:rsid w:val="007D6F19"/>
    <w:rsid w:val="007E09B1"/>
    <w:rsid w:val="007E31B6"/>
    <w:rsid w:val="007E3DFF"/>
    <w:rsid w:val="007E5378"/>
    <w:rsid w:val="007E6ED5"/>
    <w:rsid w:val="007E7694"/>
    <w:rsid w:val="007E770E"/>
    <w:rsid w:val="007F7CB0"/>
    <w:rsid w:val="0080114C"/>
    <w:rsid w:val="00801FAC"/>
    <w:rsid w:val="00802014"/>
    <w:rsid w:val="00803040"/>
    <w:rsid w:val="00803203"/>
    <w:rsid w:val="00803F56"/>
    <w:rsid w:val="008045CC"/>
    <w:rsid w:val="00805AE6"/>
    <w:rsid w:val="008061C7"/>
    <w:rsid w:val="008072AE"/>
    <w:rsid w:val="008073E5"/>
    <w:rsid w:val="00807819"/>
    <w:rsid w:val="00807E8D"/>
    <w:rsid w:val="00807EA5"/>
    <w:rsid w:val="008101AF"/>
    <w:rsid w:val="00810939"/>
    <w:rsid w:val="00810F6C"/>
    <w:rsid w:val="00813C80"/>
    <w:rsid w:val="0081458C"/>
    <w:rsid w:val="0081491B"/>
    <w:rsid w:val="00815D28"/>
    <w:rsid w:val="008165AE"/>
    <w:rsid w:val="00816AD0"/>
    <w:rsid w:val="0082179E"/>
    <w:rsid w:val="00824258"/>
    <w:rsid w:val="0082586B"/>
    <w:rsid w:val="008260CB"/>
    <w:rsid w:val="008263B6"/>
    <w:rsid w:val="008274CA"/>
    <w:rsid w:val="00831747"/>
    <w:rsid w:val="00832B20"/>
    <w:rsid w:val="008332B0"/>
    <w:rsid w:val="00835E13"/>
    <w:rsid w:val="00836813"/>
    <w:rsid w:val="00836D61"/>
    <w:rsid w:val="00837BB0"/>
    <w:rsid w:val="00841090"/>
    <w:rsid w:val="00841AC9"/>
    <w:rsid w:val="008428CB"/>
    <w:rsid w:val="00844178"/>
    <w:rsid w:val="00844AE9"/>
    <w:rsid w:val="0085254B"/>
    <w:rsid w:val="008531BD"/>
    <w:rsid w:val="00854B1F"/>
    <w:rsid w:val="0085736A"/>
    <w:rsid w:val="008612B7"/>
    <w:rsid w:val="00866EEB"/>
    <w:rsid w:val="008700C8"/>
    <w:rsid w:val="008727E0"/>
    <w:rsid w:val="00872C7F"/>
    <w:rsid w:val="0087454C"/>
    <w:rsid w:val="00874955"/>
    <w:rsid w:val="00874CFB"/>
    <w:rsid w:val="00875328"/>
    <w:rsid w:val="00877084"/>
    <w:rsid w:val="00877B26"/>
    <w:rsid w:val="008803B3"/>
    <w:rsid w:val="00880F8A"/>
    <w:rsid w:val="00883962"/>
    <w:rsid w:val="0088690B"/>
    <w:rsid w:val="00887BB2"/>
    <w:rsid w:val="00891F6A"/>
    <w:rsid w:val="0089212F"/>
    <w:rsid w:val="00892B6D"/>
    <w:rsid w:val="00896138"/>
    <w:rsid w:val="00896D10"/>
    <w:rsid w:val="008A009B"/>
    <w:rsid w:val="008A3467"/>
    <w:rsid w:val="008A41C1"/>
    <w:rsid w:val="008A5066"/>
    <w:rsid w:val="008A58A6"/>
    <w:rsid w:val="008A6E86"/>
    <w:rsid w:val="008A7133"/>
    <w:rsid w:val="008A76FF"/>
    <w:rsid w:val="008A7D73"/>
    <w:rsid w:val="008B2495"/>
    <w:rsid w:val="008B2B15"/>
    <w:rsid w:val="008B3145"/>
    <w:rsid w:val="008B6ADA"/>
    <w:rsid w:val="008B76F1"/>
    <w:rsid w:val="008C1495"/>
    <w:rsid w:val="008C1E33"/>
    <w:rsid w:val="008C2113"/>
    <w:rsid w:val="008C50FD"/>
    <w:rsid w:val="008C69C3"/>
    <w:rsid w:val="008C6C13"/>
    <w:rsid w:val="008C749F"/>
    <w:rsid w:val="008D1277"/>
    <w:rsid w:val="008D21D2"/>
    <w:rsid w:val="008D309E"/>
    <w:rsid w:val="008D39A8"/>
    <w:rsid w:val="008D3AC7"/>
    <w:rsid w:val="008D4DEE"/>
    <w:rsid w:val="008D5E98"/>
    <w:rsid w:val="008E0FEB"/>
    <w:rsid w:val="008E272D"/>
    <w:rsid w:val="008E2AA4"/>
    <w:rsid w:val="008E4171"/>
    <w:rsid w:val="008E5EC7"/>
    <w:rsid w:val="008E64F2"/>
    <w:rsid w:val="008E7F5F"/>
    <w:rsid w:val="008F2EFE"/>
    <w:rsid w:val="008F4AB2"/>
    <w:rsid w:val="008F5E77"/>
    <w:rsid w:val="008F75CC"/>
    <w:rsid w:val="00901FDA"/>
    <w:rsid w:val="00903267"/>
    <w:rsid w:val="00903E47"/>
    <w:rsid w:val="00905438"/>
    <w:rsid w:val="00905BCB"/>
    <w:rsid w:val="00913ABB"/>
    <w:rsid w:val="00913F3B"/>
    <w:rsid w:val="00914B4E"/>
    <w:rsid w:val="009154AA"/>
    <w:rsid w:val="0091603E"/>
    <w:rsid w:val="00916061"/>
    <w:rsid w:val="00924578"/>
    <w:rsid w:val="009252D7"/>
    <w:rsid w:val="00926143"/>
    <w:rsid w:val="009268ED"/>
    <w:rsid w:val="00931D68"/>
    <w:rsid w:val="00931E6C"/>
    <w:rsid w:val="00934274"/>
    <w:rsid w:val="0093482C"/>
    <w:rsid w:val="00935086"/>
    <w:rsid w:val="00937F3D"/>
    <w:rsid w:val="009403B9"/>
    <w:rsid w:val="009452E5"/>
    <w:rsid w:val="009504CE"/>
    <w:rsid w:val="009538D3"/>
    <w:rsid w:val="009538F4"/>
    <w:rsid w:val="009542F7"/>
    <w:rsid w:val="009608E5"/>
    <w:rsid w:val="00963BBB"/>
    <w:rsid w:val="00964CF1"/>
    <w:rsid w:val="009670BB"/>
    <w:rsid w:val="00967999"/>
    <w:rsid w:val="0097066F"/>
    <w:rsid w:val="00970E88"/>
    <w:rsid w:val="00971411"/>
    <w:rsid w:val="00974EC8"/>
    <w:rsid w:val="0097502D"/>
    <w:rsid w:val="00975167"/>
    <w:rsid w:val="009756FB"/>
    <w:rsid w:val="00977A52"/>
    <w:rsid w:val="009816DC"/>
    <w:rsid w:val="00983040"/>
    <w:rsid w:val="009840AA"/>
    <w:rsid w:val="009941CB"/>
    <w:rsid w:val="00994F77"/>
    <w:rsid w:val="00997FCF"/>
    <w:rsid w:val="009A0038"/>
    <w:rsid w:val="009A1F9E"/>
    <w:rsid w:val="009A32D2"/>
    <w:rsid w:val="009A7365"/>
    <w:rsid w:val="009B10A2"/>
    <w:rsid w:val="009C0000"/>
    <w:rsid w:val="009C1102"/>
    <w:rsid w:val="009C289C"/>
    <w:rsid w:val="009C432D"/>
    <w:rsid w:val="009C4631"/>
    <w:rsid w:val="009C586B"/>
    <w:rsid w:val="009C5FCA"/>
    <w:rsid w:val="009C6F3D"/>
    <w:rsid w:val="009C721E"/>
    <w:rsid w:val="009C7E68"/>
    <w:rsid w:val="009D0720"/>
    <w:rsid w:val="009D0AF9"/>
    <w:rsid w:val="009D1528"/>
    <w:rsid w:val="009D15E5"/>
    <w:rsid w:val="009D21B0"/>
    <w:rsid w:val="009D519F"/>
    <w:rsid w:val="009D5FD3"/>
    <w:rsid w:val="009D6901"/>
    <w:rsid w:val="009E3ED5"/>
    <w:rsid w:val="009E4A64"/>
    <w:rsid w:val="009E549C"/>
    <w:rsid w:val="009E79B8"/>
    <w:rsid w:val="009F1590"/>
    <w:rsid w:val="009F2229"/>
    <w:rsid w:val="009F3DD3"/>
    <w:rsid w:val="009F41CD"/>
    <w:rsid w:val="009F556E"/>
    <w:rsid w:val="00A00963"/>
    <w:rsid w:val="00A01824"/>
    <w:rsid w:val="00A025BA"/>
    <w:rsid w:val="00A03AA6"/>
    <w:rsid w:val="00A05368"/>
    <w:rsid w:val="00A06503"/>
    <w:rsid w:val="00A0744B"/>
    <w:rsid w:val="00A10849"/>
    <w:rsid w:val="00A10E54"/>
    <w:rsid w:val="00A1342A"/>
    <w:rsid w:val="00A1405F"/>
    <w:rsid w:val="00A142C5"/>
    <w:rsid w:val="00A14F9B"/>
    <w:rsid w:val="00A2007F"/>
    <w:rsid w:val="00A20188"/>
    <w:rsid w:val="00A2136A"/>
    <w:rsid w:val="00A2566F"/>
    <w:rsid w:val="00A323DE"/>
    <w:rsid w:val="00A32955"/>
    <w:rsid w:val="00A33781"/>
    <w:rsid w:val="00A35AAD"/>
    <w:rsid w:val="00A36475"/>
    <w:rsid w:val="00A367F2"/>
    <w:rsid w:val="00A3773B"/>
    <w:rsid w:val="00A40DA3"/>
    <w:rsid w:val="00A417E4"/>
    <w:rsid w:val="00A4241C"/>
    <w:rsid w:val="00A43458"/>
    <w:rsid w:val="00A44F6C"/>
    <w:rsid w:val="00A471E6"/>
    <w:rsid w:val="00A4722C"/>
    <w:rsid w:val="00A475DC"/>
    <w:rsid w:val="00A50336"/>
    <w:rsid w:val="00A50459"/>
    <w:rsid w:val="00A52892"/>
    <w:rsid w:val="00A559DC"/>
    <w:rsid w:val="00A6078C"/>
    <w:rsid w:val="00A60A9A"/>
    <w:rsid w:val="00A61237"/>
    <w:rsid w:val="00A6195D"/>
    <w:rsid w:val="00A64A9E"/>
    <w:rsid w:val="00A64BEF"/>
    <w:rsid w:val="00A65867"/>
    <w:rsid w:val="00A70DD3"/>
    <w:rsid w:val="00A72CAD"/>
    <w:rsid w:val="00A74001"/>
    <w:rsid w:val="00A75E62"/>
    <w:rsid w:val="00A77044"/>
    <w:rsid w:val="00A774EF"/>
    <w:rsid w:val="00A824CE"/>
    <w:rsid w:val="00A84FC0"/>
    <w:rsid w:val="00A874F9"/>
    <w:rsid w:val="00A87A05"/>
    <w:rsid w:val="00A9094D"/>
    <w:rsid w:val="00A90F1C"/>
    <w:rsid w:val="00A91C33"/>
    <w:rsid w:val="00A9404A"/>
    <w:rsid w:val="00A95AEC"/>
    <w:rsid w:val="00A96E7A"/>
    <w:rsid w:val="00A97A91"/>
    <w:rsid w:val="00AA02E2"/>
    <w:rsid w:val="00AA0640"/>
    <w:rsid w:val="00AA376C"/>
    <w:rsid w:val="00AA37B5"/>
    <w:rsid w:val="00AB05C4"/>
    <w:rsid w:val="00AB0FA4"/>
    <w:rsid w:val="00AB1565"/>
    <w:rsid w:val="00AB23F7"/>
    <w:rsid w:val="00AB3351"/>
    <w:rsid w:val="00AB3C3F"/>
    <w:rsid w:val="00AB6D2D"/>
    <w:rsid w:val="00AB75F4"/>
    <w:rsid w:val="00AC14FD"/>
    <w:rsid w:val="00AC38D6"/>
    <w:rsid w:val="00AC59AA"/>
    <w:rsid w:val="00AC65AB"/>
    <w:rsid w:val="00AC6D05"/>
    <w:rsid w:val="00AC6E4A"/>
    <w:rsid w:val="00AD08BA"/>
    <w:rsid w:val="00AD68CF"/>
    <w:rsid w:val="00AD6FD5"/>
    <w:rsid w:val="00AE2E35"/>
    <w:rsid w:val="00AE36F4"/>
    <w:rsid w:val="00AE41B6"/>
    <w:rsid w:val="00AE42C8"/>
    <w:rsid w:val="00AE4FED"/>
    <w:rsid w:val="00AE5135"/>
    <w:rsid w:val="00AE5D66"/>
    <w:rsid w:val="00AF0C4E"/>
    <w:rsid w:val="00AF0DB6"/>
    <w:rsid w:val="00AF120D"/>
    <w:rsid w:val="00AF1D48"/>
    <w:rsid w:val="00AF25AC"/>
    <w:rsid w:val="00AF43D7"/>
    <w:rsid w:val="00AF6266"/>
    <w:rsid w:val="00AF6878"/>
    <w:rsid w:val="00AF6DE5"/>
    <w:rsid w:val="00B0068B"/>
    <w:rsid w:val="00B04542"/>
    <w:rsid w:val="00B04E3C"/>
    <w:rsid w:val="00B061C1"/>
    <w:rsid w:val="00B106D0"/>
    <w:rsid w:val="00B119D8"/>
    <w:rsid w:val="00B11F54"/>
    <w:rsid w:val="00B13809"/>
    <w:rsid w:val="00B13FA5"/>
    <w:rsid w:val="00B16428"/>
    <w:rsid w:val="00B21906"/>
    <w:rsid w:val="00B27031"/>
    <w:rsid w:val="00B319AB"/>
    <w:rsid w:val="00B326C9"/>
    <w:rsid w:val="00B334FB"/>
    <w:rsid w:val="00B355BD"/>
    <w:rsid w:val="00B37D46"/>
    <w:rsid w:val="00B40145"/>
    <w:rsid w:val="00B4054C"/>
    <w:rsid w:val="00B44C4C"/>
    <w:rsid w:val="00B46FFA"/>
    <w:rsid w:val="00B470F6"/>
    <w:rsid w:val="00B47F85"/>
    <w:rsid w:val="00B51DE3"/>
    <w:rsid w:val="00B54528"/>
    <w:rsid w:val="00B5583D"/>
    <w:rsid w:val="00B61464"/>
    <w:rsid w:val="00B615B9"/>
    <w:rsid w:val="00B61AE3"/>
    <w:rsid w:val="00B63744"/>
    <w:rsid w:val="00B63A26"/>
    <w:rsid w:val="00B63B4C"/>
    <w:rsid w:val="00B64A2E"/>
    <w:rsid w:val="00B6526C"/>
    <w:rsid w:val="00B65EE6"/>
    <w:rsid w:val="00B70295"/>
    <w:rsid w:val="00B72BC5"/>
    <w:rsid w:val="00B7323F"/>
    <w:rsid w:val="00B74229"/>
    <w:rsid w:val="00B7427E"/>
    <w:rsid w:val="00B752B1"/>
    <w:rsid w:val="00B77097"/>
    <w:rsid w:val="00B81C32"/>
    <w:rsid w:val="00B8256B"/>
    <w:rsid w:val="00B86258"/>
    <w:rsid w:val="00B9711B"/>
    <w:rsid w:val="00BA0D28"/>
    <w:rsid w:val="00BA24A8"/>
    <w:rsid w:val="00BA4553"/>
    <w:rsid w:val="00BA59D1"/>
    <w:rsid w:val="00BA5A66"/>
    <w:rsid w:val="00BA5AC9"/>
    <w:rsid w:val="00BA5B43"/>
    <w:rsid w:val="00BA6E82"/>
    <w:rsid w:val="00BB0563"/>
    <w:rsid w:val="00BB058B"/>
    <w:rsid w:val="00BB10D3"/>
    <w:rsid w:val="00BB137F"/>
    <w:rsid w:val="00BB2571"/>
    <w:rsid w:val="00BB3DB5"/>
    <w:rsid w:val="00BB628C"/>
    <w:rsid w:val="00BB7DFD"/>
    <w:rsid w:val="00BC3091"/>
    <w:rsid w:val="00BC3A8C"/>
    <w:rsid w:val="00BC79BB"/>
    <w:rsid w:val="00BC7FDE"/>
    <w:rsid w:val="00BD2CF0"/>
    <w:rsid w:val="00BD734F"/>
    <w:rsid w:val="00BD7BC0"/>
    <w:rsid w:val="00BE1D6A"/>
    <w:rsid w:val="00BE28C9"/>
    <w:rsid w:val="00BE2AD5"/>
    <w:rsid w:val="00BE470A"/>
    <w:rsid w:val="00BE50ED"/>
    <w:rsid w:val="00BE7B60"/>
    <w:rsid w:val="00BF0620"/>
    <w:rsid w:val="00BF0E56"/>
    <w:rsid w:val="00BF2363"/>
    <w:rsid w:val="00BF2D43"/>
    <w:rsid w:val="00BF30C0"/>
    <w:rsid w:val="00BF36D7"/>
    <w:rsid w:val="00BF3FEF"/>
    <w:rsid w:val="00BF57E1"/>
    <w:rsid w:val="00BF632E"/>
    <w:rsid w:val="00BF749C"/>
    <w:rsid w:val="00BF7F28"/>
    <w:rsid w:val="00C01AF0"/>
    <w:rsid w:val="00C03148"/>
    <w:rsid w:val="00C04591"/>
    <w:rsid w:val="00C05FE2"/>
    <w:rsid w:val="00C06E4C"/>
    <w:rsid w:val="00C10695"/>
    <w:rsid w:val="00C108D9"/>
    <w:rsid w:val="00C12E00"/>
    <w:rsid w:val="00C138B1"/>
    <w:rsid w:val="00C13E96"/>
    <w:rsid w:val="00C17889"/>
    <w:rsid w:val="00C22E56"/>
    <w:rsid w:val="00C23CAD"/>
    <w:rsid w:val="00C23ED9"/>
    <w:rsid w:val="00C24719"/>
    <w:rsid w:val="00C24D7B"/>
    <w:rsid w:val="00C27104"/>
    <w:rsid w:val="00C308CC"/>
    <w:rsid w:val="00C34B35"/>
    <w:rsid w:val="00C3661D"/>
    <w:rsid w:val="00C3706F"/>
    <w:rsid w:val="00C401CC"/>
    <w:rsid w:val="00C41C14"/>
    <w:rsid w:val="00C41D69"/>
    <w:rsid w:val="00C42355"/>
    <w:rsid w:val="00C44A7D"/>
    <w:rsid w:val="00C46CD8"/>
    <w:rsid w:val="00C51999"/>
    <w:rsid w:val="00C521BB"/>
    <w:rsid w:val="00C52C8D"/>
    <w:rsid w:val="00C534AB"/>
    <w:rsid w:val="00C53E33"/>
    <w:rsid w:val="00C548CA"/>
    <w:rsid w:val="00C55210"/>
    <w:rsid w:val="00C5722F"/>
    <w:rsid w:val="00C6374F"/>
    <w:rsid w:val="00C71F72"/>
    <w:rsid w:val="00C72137"/>
    <w:rsid w:val="00C721DC"/>
    <w:rsid w:val="00C75648"/>
    <w:rsid w:val="00C764C8"/>
    <w:rsid w:val="00C76C54"/>
    <w:rsid w:val="00C77C2C"/>
    <w:rsid w:val="00C77F49"/>
    <w:rsid w:val="00C808ED"/>
    <w:rsid w:val="00C815F3"/>
    <w:rsid w:val="00C824CA"/>
    <w:rsid w:val="00C83453"/>
    <w:rsid w:val="00C84A92"/>
    <w:rsid w:val="00C85B71"/>
    <w:rsid w:val="00C860DD"/>
    <w:rsid w:val="00C87A82"/>
    <w:rsid w:val="00C87BE3"/>
    <w:rsid w:val="00C90506"/>
    <w:rsid w:val="00C908DC"/>
    <w:rsid w:val="00C9175A"/>
    <w:rsid w:val="00C93434"/>
    <w:rsid w:val="00C93731"/>
    <w:rsid w:val="00C94471"/>
    <w:rsid w:val="00C951B2"/>
    <w:rsid w:val="00C96FB7"/>
    <w:rsid w:val="00C97A90"/>
    <w:rsid w:val="00CA01BC"/>
    <w:rsid w:val="00CA0B71"/>
    <w:rsid w:val="00CA1CE5"/>
    <w:rsid w:val="00CA631D"/>
    <w:rsid w:val="00CA6DDD"/>
    <w:rsid w:val="00CA6E88"/>
    <w:rsid w:val="00CB5575"/>
    <w:rsid w:val="00CB744C"/>
    <w:rsid w:val="00CC0E8D"/>
    <w:rsid w:val="00CC14A0"/>
    <w:rsid w:val="00CC16A1"/>
    <w:rsid w:val="00CC269F"/>
    <w:rsid w:val="00CC31FA"/>
    <w:rsid w:val="00CC397B"/>
    <w:rsid w:val="00CD014F"/>
    <w:rsid w:val="00CD2A68"/>
    <w:rsid w:val="00CD3410"/>
    <w:rsid w:val="00CD5500"/>
    <w:rsid w:val="00CD7EF1"/>
    <w:rsid w:val="00CE1444"/>
    <w:rsid w:val="00CE2A2A"/>
    <w:rsid w:val="00CE407B"/>
    <w:rsid w:val="00CE4C25"/>
    <w:rsid w:val="00CE4E18"/>
    <w:rsid w:val="00CE6ED5"/>
    <w:rsid w:val="00CE755E"/>
    <w:rsid w:val="00CF3604"/>
    <w:rsid w:val="00CF4E44"/>
    <w:rsid w:val="00CF70F5"/>
    <w:rsid w:val="00D005A5"/>
    <w:rsid w:val="00D016C9"/>
    <w:rsid w:val="00D01CB8"/>
    <w:rsid w:val="00D02A1B"/>
    <w:rsid w:val="00D03687"/>
    <w:rsid w:val="00D03B58"/>
    <w:rsid w:val="00D06F95"/>
    <w:rsid w:val="00D1297D"/>
    <w:rsid w:val="00D13BE5"/>
    <w:rsid w:val="00D15D33"/>
    <w:rsid w:val="00D15FC7"/>
    <w:rsid w:val="00D203AE"/>
    <w:rsid w:val="00D204AC"/>
    <w:rsid w:val="00D27AFB"/>
    <w:rsid w:val="00D3107F"/>
    <w:rsid w:val="00D3151C"/>
    <w:rsid w:val="00D32FCB"/>
    <w:rsid w:val="00D35397"/>
    <w:rsid w:val="00D42324"/>
    <w:rsid w:val="00D43763"/>
    <w:rsid w:val="00D44F96"/>
    <w:rsid w:val="00D44FF2"/>
    <w:rsid w:val="00D45155"/>
    <w:rsid w:val="00D456C7"/>
    <w:rsid w:val="00D456FB"/>
    <w:rsid w:val="00D45810"/>
    <w:rsid w:val="00D47842"/>
    <w:rsid w:val="00D53FF4"/>
    <w:rsid w:val="00D5448E"/>
    <w:rsid w:val="00D55AF8"/>
    <w:rsid w:val="00D56C28"/>
    <w:rsid w:val="00D62515"/>
    <w:rsid w:val="00D6310F"/>
    <w:rsid w:val="00D720BA"/>
    <w:rsid w:val="00D73CF3"/>
    <w:rsid w:val="00D76533"/>
    <w:rsid w:val="00D77DA5"/>
    <w:rsid w:val="00D82EF1"/>
    <w:rsid w:val="00D857D9"/>
    <w:rsid w:val="00D86A2E"/>
    <w:rsid w:val="00D87C81"/>
    <w:rsid w:val="00D909A0"/>
    <w:rsid w:val="00D909AC"/>
    <w:rsid w:val="00D92988"/>
    <w:rsid w:val="00D9312A"/>
    <w:rsid w:val="00D93DA7"/>
    <w:rsid w:val="00D9423C"/>
    <w:rsid w:val="00D943A8"/>
    <w:rsid w:val="00D96ACA"/>
    <w:rsid w:val="00DA1C3D"/>
    <w:rsid w:val="00DA64A6"/>
    <w:rsid w:val="00DB0C14"/>
    <w:rsid w:val="00DB15B0"/>
    <w:rsid w:val="00DB3006"/>
    <w:rsid w:val="00DB483F"/>
    <w:rsid w:val="00DB4A0F"/>
    <w:rsid w:val="00DB50E3"/>
    <w:rsid w:val="00DB561C"/>
    <w:rsid w:val="00DB5861"/>
    <w:rsid w:val="00DC0490"/>
    <w:rsid w:val="00DC2663"/>
    <w:rsid w:val="00DC4FF1"/>
    <w:rsid w:val="00DC697C"/>
    <w:rsid w:val="00DC7976"/>
    <w:rsid w:val="00DD15A8"/>
    <w:rsid w:val="00DD1C2E"/>
    <w:rsid w:val="00DD2EEC"/>
    <w:rsid w:val="00DD4046"/>
    <w:rsid w:val="00DD41C3"/>
    <w:rsid w:val="00DD4539"/>
    <w:rsid w:val="00DD6074"/>
    <w:rsid w:val="00DD710F"/>
    <w:rsid w:val="00DD773E"/>
    <w:rsid w:val="00DE034F"/>
    <w:rsid w:val="00DE2546"/>
    <w:rsid w:val="00DE32D1"/>
    <w:rsid w:val="00DF30A7"/>
    <w:rsid w:val="00DF4284"/>
    <w:rsid w:val="00DF4E47"/>
    <w:rsid w:val="00DF4FF8"/>
    <w:rsid w:val="00E00344"/>
    <w:rsid w:val="00E00C5C"/>
    <w:rsid w:val="00E01386"/>
    <w:rsid w:val="00E01ECB"/>
    <w:rsid w:val="00E05C49"/>
    <w:rsid w:val="00E104D4"/>
    <w:rsid w:val="00E12B6B"/>
    <w:rsid w:val="00E12DE5"/>
    <w:rsid w:val="00E14B22"/>
    <w:rsid w:val="00E16492"/>
    <w:rsid w:val="00E16D44"/>
    <w:rsid w:val="00E20EBB"/>
    <w:rsid w:val="00E222B8"/>
    <w:rsid w:val="00E24FFD"/>
    <w:rsid w:val="00E25037"/>
    <w:rsid w:val="00E26CC2"/>
    <w:rsid w:val="00E27AE1"/>
    <w:rsid w:val="00E31482"/>
    <w:rsid w:val="00E319FD"/>
    <w:rsid w:val="00E328AD"/>
    <w:rsid w:val="00E32F4A"/>
    <w:rsid w:val="00E335B4"/>
    <w:rsid w:val="00E35944"/>
    <w:rsid w:val="00E40444"/>
    <w:rsid w:val="00E4092F"/>
    <w:rsid w:val="00E40C89"/>
    <w:rsid w:val="00E41138"/>
    <w:rsid w:val="00E41593"/>
    <w:rsid w:val="00E449E1"/>
    <w:rsid w:val="00E46036"/>
    <w:rsid w:val="00E51018"/>
    <w:rsid w:val="00E523C3"/>
    <w:rsid w:val="00E53336"/>
    <w:rsid w:val="00E5351B"/>
    <w:rsid w:val="00E574BE"/>
    <w:rsid w:val="00E617A7"/>
    <w:rsid w:val="00E63C4A"/>
    <w:rsid w:val="00E63EE1"/>
    <w:rsid w:val="00E64383"/>
    <w:rsid w:val="00E649BA"/>
    <w:rsid w:val="00E65130"/>
    <w:rsid w:val="00E671C1"/>
    <w:rsid w:val="00E713AA"/>
    <w:rsid w:val="00E73646"/>
    <w:rsid w:val="00E74ABD"/>
    <w:rsid w:val="00E74F49"/>
    <w:rsid w:val="00E768E9"/>
    <w:rsid w:val="00E77079"/>
    <w:rsid w:val="00E84DE9"/>
    <w:rsid w:val="00E854ED"/>
    <w:rsid w:val="00E85E6A"/>
    <w:rsid w:val="00E9113A"/>
    <w:rsid w:val="00E9237A"/>
    <w:rsid w:val="00E92A7B"/>
    <w:rsid w:val="00E93B1E"/>
    <w:rsid w:val="00E93DDE"/>
    <w:rsid w:val="00E95885"/>
    <w:rsid w:val="00EA1627"/>
    <w:rsid w:val="00EA32A1"/>
    <w:rsid w:val="00EA34BC"/>
    <w:rsid w:val="00EA583B"/>
    <w:rsid w:val="00EA7A43"/>
    <w:rsid w:val="00EB336C"/>
    <w:rsid w:val="00EB3F30"/>
    <w:rsid w:val="00EC2303"/>
    <w:rsid w:val="00EC3D72"/>
    <w:rsid w:val="00EC6269"/>
    <w:rsid w:val="00EC6356"/>
    <w:rsid w:val="00EC74D9"/>
    <w:rsid w:val="00EC7C24"/>
    <w:rsid w:val="00ED0B0D"/>
    <w:rsid w:val="00ED14CF"/>
    <w:rsid w:val="00ED226F"/>
    <w:rsid w:val="00ED3A07"/>
    <w:rsid w:val="00ED555C"/>
    <w:rsid w:val="00ED5A0C"/>
    <w:rsid w:val="00ED617D"/>
    <w:rsid w:val="00EE013D"/>
    <w:rsid w:val="00EE3CC3"/>
    <w:rsid w:val="00EE43B5"/>
    <w:rsid w:val="00EE43FE"/>
    <w:rsid w:val="00EE5F37"/>
    <w:rsid w:val="00EF02BB"/>
    <w:rsid w:val="00EF0337"/>
    <w:rsid w:val="00EF11E2"/>
    <w:rsid w:val="00EF1FDE"/>
    <w:rsid w:val="00EF2690"/>
    <w:rsid w:val="00EF4D7D"/>
    <w:rsid w:val="00EF67CF"/>
    <w:rsid w:val="00EF77F6"/>
    <w:rsid w:val="00EF7875"/>
    <w:rsid w:val="00F01BFF"/>
    <w:rsid w:val="00F0214D"/>
    <w:rsid w:val="00F0424C"/>
    <w:rsid w:val="00F05D10"/>
    <w:rsid w:val="00F06282"/>
    <w:rsid w:val="00F07F22"/>
    <w:rsid w:val="00F10086"/>
    <w:rsid w:val="00F12468"/>
    <w:rsid w:val="00F12E15"/>
    <w:rsid w:val="00F13379"/>
    <w:rsid w:val="00F136E9"/>
    <w:rsid w:val="00F14277"/>
    <w:rsid w:val="00F14986"/>
    <w:rsid w:val="00F165A6"/>
    <w:rsid w:val="00F16ED4"/>
    <w:rsid w:val="00F17903"/>
    <w:rsid w:val="00F17F64"/>
    <w:rsid w:val="00F216E5"/>
    <w:rsid w:val="00F22364"/>
    <w:rsid w:val="00F237AA"/>
    <w:rsid w:val="00F27564"/>
    <w:rsid w:val="00F27B83"/>
    <w:rsid w:val="00F303A0"/>
    <w:rsid w:val="00F3173B"/>
    <w:rsid w:val="00F330CF"/>
    <w:rsid w:val="00F36548"/>
    <w:rsid w:val="00F4378D"/>
    <w:rsid w:val="00F45BD5"/>
    <w:rsid w:val="00F45DA6"/>
    <w:rsid w:val="00F4613B"/>
    <w:rsid w:val="00F5243C"/>
    <w:rsid w:val="00F53BCB"/>
    <w:rsid w:val="00F54360"/>
    <w:rsid w:val="00F54FF1"/>
    <w:rsid w:val="00F55E04"/>
    <w:rsid w:val="00F560F2"/>
    <w:rsid w:val="00F5620E"/>
    <w:rsid w:val="00F569CC"/>
    <w:rsid w:val="00F6030F"/>
    <w:rsid w:val="00F60AF9"/>
    <w:rsid w:val="00F60CFA"/>
    <w:rsid w:val="00F610AE"/>
    <w:rsid w:val="00F6191D"/>
    <w:rsid w:val="00F61F31"/>
    <w:rsid w:val="00F62A77"/>
    <w:rsid w:val="00F64F7E"/>
    <w:rsid w:val="00F65EF1"/>
    <w:rsid w:val="00F662B2"/>
    <w:rsid w:val="00F668B8"/>
    <w:rsid w:val="00F6726B"/>
    <w:rsid w:val="00F70360"/>
    <w:rsid w:val="00F70486"/>
    <w:rsid w:val="00F70D88"/>
    <w:rsid w:val="00F723B8"/>
    <w:rsid w:val="00F72CAE"/>
    <w:rsid w:val="00F72F4A"/>
    <w:rsid w:val="00F73AD2"/>
    <w:rsid w:val="00F7560F"/>
    <w:rsid w:val="00F77D09"/>
    <w:rsid w:val="00F800BD"/>
    <w:rsid w:val="00F81FAA"/>
    <w:rsid w:val="00F8580D"/>
    <w:rsid w:val="00F90062"/>
    <w:rsid w:val="00F93262"/>
    <w:rsid w:val="00F94168"/>
    <w:rsid w:val="00F95F97"/>
    <w:rsid w:val="00F97088"/>
    <w:rsid w:val="00FA5A9D"/>
    <w:rsid w:val="00FA5E9E"/>
    <w:rsid w:val="00FA6DAB"/>
    <w:rsid w:val="00FA7AD3"/>
    <w:rsid w:val="00FB13E0"/>
    <w:rsid w:val="00FB1DF9"/>
    <w:rsid w:val="00FB4092"/>
    <w:rsid w:val="00FB4732"/>
    <w:rsid w:val="00FB4AE9"/>
    <w:rsid w:val="00FB6146"/>
    <w:rsid w:val="00FB7537"/>
    <w:rsid w:val="00FC2895"/>
    <w:rsid w:val="00FC2FAA"/>
    <w:rsid w:val="00FC384B"/>
    <w:rsid w:val="00FC4704"/>
    <w:rsid w:val="00FC507B"/>
    <w:rsid w:val="00FC6C3F"/>
    <w:rsid w:val="00FD03F1"/>
    <w:rsid w:val="00FD1728"/>
    <w:rsid w:val="00FD4369"/>
    <w:rsid w:val="00FD49A4"/>
    <w:rsid w:val="00FD5D8F"/>
    <w:rsid w:val="00FD7765"/>
    <w:rsid w:val="00FE051F"/>
    <w:rsid w:val="00FE1502"/>
    <w:rsid w:val="00FE2981"/>
    <w:rsid w:val="00FE31FD"/>
    <w:rsid w:val="00FE42EF"/>
    <w:rsid w:val="00FE42F8"/>
    <w:rsid w:val="00FE4587"/>
    <w:rsid w:val="00FE519A"/>
    <w:rsid w:val="00FE66CF"/>
    <w:rsid w:val="00FF047C"/>
    <w:rsid w:val="00FF196D"/>
    <w:rsid w:val="00FF2969"/>
    <w:rsid w:val="00FF2EDC"/>
    <w:rsid w:val="00FF39D0"/>
    <w:rsid w:val="00FF448E"/>
    <w:rsid w:val="00FF6D24"/>
    <w:rsid w:val="00FF6D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9FA802"/>
  <w15:docId w15:val="{5DEF0031-6240-45D5-957A-BC07C312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84"/>
    <w:rPr>
      <w:color w:val="0000FF" w:themeColor="hyperlink"/>
      <w:u w:val="single"/>
    </w:rPr>
  </w:style>
  <w:style w:type="character" w:styleId="CommentReference">
    <w:name w:val="annotation reference"/>
    <w:basedOn w:val="DefaultParagraphFont"/>
    <w:uiPriority w:val="99"/>
    <w:semiHidden/>
    <w:unhideWhenUsed/>
    <w:rsid w:val="008428CB"/>
    <w:rPr>
      <w:sz w:val="16"/>
      <w:szCs w:val="16"/>
    </w:rPr>
  </w:style>
  <w:style w:type="paragraph" w:styleId="CommentText">
    <w:name w:val="annotation text"/>
    <w:basedOn w:val="Normal"/>
    <w:link w:val="CommentTextChar"/>
    <w:uiPriority w:val="99"/>
    <w:unhideWhenUsed/>
    <w:rsid w:val="008428CB"/>
    <w:pPr>
      <w:spacing w:line="240" w:lineRule="auto"/>
    </w:pPr>
    <w:rPr>
      <w:sz w:val="20"/>
      <w:szCs w:val="20"/>
    </w:rPr>
  </w:style>
  <w:style w:type="character" w:customStyle="1" w:styleId="CommentTextChar">
    <w:name w:val="Comment Text Char"/>
    <w:basedOn w:val="DefaultParagraphFont"/>
    <w:link w:val="CommentText"/>
    <w:uiPriority w:val="99"/>
    <w:rsid w:val="008428CB"/>
    <w:rPr>
      <w:sz w:val="20"/>
      <w:szCs w:val="20"/>
    </w:rPr>
  </w:style>
  <w:style w:type="paragraph" w:styleId="CommentSubject">
    <w:name w:val="annotation subject"/>
    <w:basedOn w:val="CommentText"/>
    <w:next w:val="CommentText"/>
    <w:link w:val="CommentSubjectChar"/>
    <w:uiPriority w:val="99"/>
    <w:semiHidden/>
    <w:unhideWhenUsed/>
    <w:rsid w:val="008428CB"/>
    <w:rPr>
      <w:b/>
      <w:bCs/>
    </w:rPr>
  </w:style>
  <w:style w:type="character" w:customStyle="1" w:styleId="CommentSubjectChar">
    <w:name w:val="Comment Subject Char"/>
    <w:basedOn w:val="CommentTextChar"/>
    <w:link w:val="CommentSubject"/>
    <w:uiPriority w:val="99"/>
    <w:semiHidden/>
    <w:rsid w:val="008428CB"/>
    <w:rPr>
      <w:b/>
      <w:bCs/>
      <w:sz w:val="20"/>
      <w:szCs w:val="20"/>
    </w:rPr>
  </w:style>
  <w:style w:type="paragraph" w:styleId="BalloonText">
    <w:name w:val="Balloon Text"/>
    <w:basedOn w:val="Normal"/>
    <w:link w:val="BalloonTextChar"/>
    <w:uiPriority w:val="99"/>
    <w:semiHidden/>
    <w:unhideWhenUsed/>
    <w:rsid w:val="0084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CB"/>
    <w:rPr>
      <w:rFonts w:ascii="Tahoma" w:hAnsi="Tahoma" w:cs="Tahoma"/>
      <w:sz w:val="16"/>
      <w:szCs w:val="16"/>
    </w:rPr>
  </w:style>
  <w:style w:type="paragraph" w:styleId="Header">
    <w:name w:val="header"/>
    <w:basedOn w:val="Normal"/>
    <w:link w:val="HeaderChar"/>
    <w:uiPriority w:val="99"/>
    <w:unhideWhenUsed/>
    <w:rsid w:val="007C59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9E8"/>
  </w:style>
  <w:style w:type="paragraph" w:styleId="Footer">
    <w:name w:val="footer"/>
    <w:basedOn w:val="Normal"/>
    <w:link w:val="FooterChar"/>
    <w:uiPriority w:val="99"/>
    <w:unhideWhenUsed/>
    <w:rsid w:val="007C59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9E8"/>
  </w:style>
  <w:style w:type="paragraph" w:styleId="ListParagraph">
    <w:name w:val="List Paragraph"/>
    <w:basedOn w:val="Normal"/>
    <w:uiPriority w:val="34"/>
    <w:qFormat/>
    <w:rsid w:val="00700A67"/>
    <w:pPr>
      <w:ind w:left="720"/>
      <w:contextualSpacing/>
    </w:pPr>
  </w:style>
  <w:style w:type="paragraph" w:styleId="Revision">
    <w:name w:val="Revision"/>
    <w:hidden/>
    <w:uiPriority w:val="99"/>
    <w:semiHidden/>
    <w:rsid w:val="001F0172"/>
    <w:pPr>
      <w:spacing w:after="0" w:line="240" w:lineRule="auto"/>
    </w:pPr>
  </w:style>
  <w:style w:type="paragraph" w:styleId="DocumentMap">
    <w:name w:val="Document Map"/>
    <w:basedOn w:val="Normal"/>
    <w:link w:val="DocumentMapChar"/>
    <w:uiPriority w:val="99"/>
    <w:semiHidden/>
    <w:unhideWhenUsed/>
    <w:rsid w:val="00D93DA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3DA7"/>
    <w:rPr>
      <w:rFonts w:ascii="Times New Roman" w:hAnsi="Times New Roman" w:cs="Times New Roman"/>
      <w:sz w:val="24"/>
      <w:szCs w:val="24"/>
    </w:rPr>
  </w:style>
  <w:style w:type="character" w:styleId="Mention">
    <w:name w:val="Mention"/>
    <w:basedOn w:val="DefaultParagraphFont"/>
    <w:uiPriority w:val="99"/>
    <w:unhideWhenUsed/>
    <w:rsid w:val="00D909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3100">
      <w:bodyDiv w:val="1"/>
      <w:marLeft w:val="0"/>
      <w:marRight w:val="0"/>
      <w:marTop w:val="0"/>
      <w:marBottom w:val="0"/>
      <w:divBdr>
        <w:top w:val="none" w:sz="0" w:space="0" w:color="auto"/>
        <w:left w:val="none" w:sz="0" w:space="0" w:color="auto"/>
        <w:bottom w:val="none" w:sz="0" w:space="0" w:color="auto"/>
        <w:right w:val="none" w:sz="0" w:space="0" w:color="auto"/>
      </w:divBdr>
    </w:div>
    <w:div w:id="404181334">
      <w:bodyDiv w:val="1"/>
      <w:marLeft w:val="0"/>
      <w:marRight w:val="0"/>
      <w:marTop w:val="0"/>
      <w:marBottom w:val="0"/>
      <w:divBdr>
        <w:top w:val="none" w:sz="0" w:space="0" w:color="auto"/>
        <w:left w:val="none" w:sz="0" w:space="0" w:color="auto"/>
        <w:bottom w:val="none" w:sz="0" w:space="0" w:color="auto"/>
        <w:right w:val="none" w:sz="0" w:space="0" w:color="auto"/>
      </w:divBdr>
    </w:div>
    <w:div w:id="1466581787">
      <w:bodyDiv w:val="1"/>
      <w:marLeft w:val="0"/>
      <w:marRight w:val="0"/>
      <w:marTop w:val="0"/>
      <w:marBottom w:val="0"/>
      <w:divBdr>
        <w:top w:val="none" w:sz="0" w:space="0" w:color="auto"/>
        <w:left w:val="none" w:sz="0" w:space="0" w:color="auto"/>
        <w:bottom w:val="none" w:sz="0" w:space="0" w:color="auto"/>
        <w:right w:val="none" w:sz="0" w:space="0" w:color="auto"/>
      </w:divBdr>
    </w:div>
    <w:div w:id="1619725633">
      <w:bodyDiv w:val="1"/>
      <w:marLeft w:val="0"/>
      <w:marRight w:val="0"/>
      <w:marTop w:val="0"/>
      <w:marBottom w:val="0"/>
      <w:divBdr>
        <w:top w:val="none" w:sz="0" w:space="0" w:color="auto"/>
        <w:left w:val="none" w:sz="0" w:space="0" w:color="auto"/>
        <w:bottom w:val="none" w:sz="0" w:space="0" w:color="auto"/>
        <w:right w:val="none" w:sz="0" w:space="0" w:color="auto"/>
      </w:divBdr>
    </w:div>
    <w:div w:id="19407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D46625A567D43BC30522D32E53018" ma:contentTypeVersion="18" ma:contentTypeDescription="Create a new document." ma:contentTypeScope="" ma:versionID="96e408ed7005b551eb257d8f48b97b0e">
  <xsd:schema xmlns:xsd="http://www.w3.org/2001/XMLSchema" xmlns:xs="http://www.w3.org/2001/XMLSchema" xmlns:p="http://schemas.microsoft.com/office/2006/metadata/properties" xmlns:ns2="28250d59-f090-4124-86d6-7d3881aef12e" xmlns:ns3="cb5161f2-39a4-47b6-8025-c5d355cb034e" targetNamespace="http://schemas.microsoft.com/office/2006/metadata/properties" ma:root="true" ma:fieldsID="2e5352352fa56cb1902046010764c7ad" ns2:_="" ns3:_="">
    <xsd:import namespace="28250d59-f090-4124-86d6-7d3881aef12e"/>
    <xsd:import namespace="cb5161f2-39a4-47b6-8025-c5d355cb03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Created_x0020_By0" minOccurs="0"/>
                <xsd:element ref="ns2:Created_x0020_By_x003a_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50d59-f090-4124-86d6-7d3881aef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reated_x0020_By0" ma:index="21" nillable="true" ma:displayName="Created By" ma:list="{28250d59-f090-4124-86d6-7d3881aef12e}" ma:internalName="Created_x0020_By0" ma:showField="Title">
      <xsd:simpleType>
        <xsd:restriction base="dms:Lookup"/>
      </xsd:simpleType>
    </xsd:element>
    <xsd:element name="Created_x0020_By_x003a_Created" ma:index="22" nillable="true" ma:displayName="Created By:Created" ma:list="{28250d59-f090-4124-86d6-7d3881aef12e}" ma:internalName="Created_x0020_By_x003a_Created" ma:readOnly="true" ma:showField="Created" ma:web="cb5161f2-39a4-47b6-8025-c5d355cb034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58bde8-dbd1-4b93-a904-e1366aca4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161f2-39a4-47b6-8025-c5d355cb034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e578f5b-4f41-46fe-8eef-c9a142087ecc}" ma:internalName="TaxCatchAll" ma:showField="CatchAllData" ma:web="cb5161f2-39a4-47b6-8025-c5d355cb0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50d59-f090-4124-86d6-7d3881aef12e">
      <Terms xmlns="http://schemas.microsoft.com/office/infopath/2007/PartnerControls"/>
    </lcf76f155ced4ddcb4097134ff3c332f>
    <TaxCatchAll xmlns="cb5161f2-39a4-47b6-8025-c5d355cb034e" xsi:nil="true"/>
    <Created_x0020_By0 xmlns="28250d59-f090-4124-86d6-7d3881aef12e" xsi:nil="true"/>
  </documentManagement>
</p:properties>
</file>

<file path=customXml/itemProps1.xml><?xml version="1.0" encoding="utf-8"?>
<ds:datastoreItem xmlns:ds="http://schemas.openxmlformats.org/officeDocument/2006/customXml" ds:itemID="{08F9A33B-3401-4D5E-AF8A-2769DD57EACB}"/>
</file>

<file path=customXml/itemProps2.xml><?xml version="1.0" encoding="utf-8"?>
<ds:datastoreItem xmlns:ds="http://schemas.openxmlformats.org/officeDocument/2006/customXml" ds:itemID="{D29DCDDA-3222-49ED-B1EE-3CC565624D89}">
  <ds:schemaRefs>
    <ds:schemaRef ds:uri="http://schemas.microsoft.com/sharepoint/v3/contenttype/forms"/>
  </ds:schemaRefs>
</ds:datastoreItem>
</file>

<file path=customXml/itemProps3.xml><?xml version="1.0" encoding="utf-8"?>
<ds:datastoreItem xmlns:ds="http://schemas.openxmlformats.org/officeDocument/2006/customXml" ds:itemID="{E2D52159-22B6-4F05-945B-8DB7B3233F07}">
  <ds:schemaRefs>
    <ds:schemaRef ds:uri="http://schemas.openxmlformats.org/officeDocument/2006/bibliography"/>
  </ds:schemaRefs>
</ds:datastoreItem>
</file>

<file path=customXml/itemProps4.xml><?xml version="1.0" encoding="utf-8"?>
<ds:datastoreItem xmlns:ds="http://schemas.openxmlformats.org/officeDocument/2006/customXml" ds:itemID="{3B2BD9FB-73D8-4D5D-BE67-213B6CA4CB42}">
  <ds:schemaRefs>
    <ds:schemaRef ds:uri="http://schemas.microsoft.com/office/2006/metadata/properties"/>
    <ds:schemaRef ds:uri="http://schemas.microsoft.com/office/infopath/2007/PartnerControls"/>
    <ds:schemaRef ds:uri="7a9055f6-8add-456d-919b-b8df3831391d"/>
    <ds:schemaRef ds:uri="10f5a5f9-f6c7-47d3-8f2e-dad5a7bd7e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Guindy</dc:creator>
  <cp:lastModifiedBy>Laura Kindler</cp:lastModifiedBy>
  <cp:revision>5</cp:revision>
  <dcterms:created xsi:type="dcterms:W3CDTF">2022-09-12T14:12:00Z</dcterms:created>
  <dcterms:modified xsi:type="dcterms:W3CDTF">2022-09-12T16:01:00Z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0x010100738D46625A567D43BC30522D32E53018</vt:lpwstr>
  </property>
  <property fmtid="{D5CDD505-2E9C-101B-9397-08002B2CF9AE}" pid="3" name="AuthorIds_UIVersion_1024">
    <vt:lpwstr>25</vt:lpwstr>
  </property>
  <property fmtid="{D5CDD505-2E9C-101B-9397-08002B2CF9AE}" pid="4" name="AuthorIds_UIVersion_512">
    <vt:lpwstr>25</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